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4A" w:rsidRDefault="00E0304A" w:rsidP="00E0304A">
      <w:pPr>
        <w:widowControl/>
        <w:shd w:val="clear" w:color="auto" w:fill="FFFFFF"/>
        <w:spacing w:line="520" w:lineRule="exact"/>
        <w:jc w:val="center"/>
        <w:rPr>
          <w:rFonts w:ascii="方正小标宋简体" w:eastAsia="方正小标宋简体" w:hAnsi="仿宋" w:cs="宋体" w:hint="eastAsia"/>
          <w:bCs/>
          <w:color w:val="000000" w:themeColor="text1"/>
          <w:kern w:val="36"/>
          <w:sz w:val="36"/>
          <w:szCs w:val="36"/>
        </w:rPr>
      </w:pPr>
      <w:r w:rsidRPr="00E0304A">
        <w:rPr>
          <w:rFonts w:ascii="方正小标宋简体" w:eastAsia="方正小标宋简体" w:hAnsi="仿宋" w:cs="宋体" w:hint="eastAsia"/>
          <w:bCs/>
          <w:color w:val="000000" w:themeColor="text1"/>
          <w:kern w:val="36"/>
          <w:sz w:val="36"/>
          <w:szCs w:val="36"/>
        </w:rPr>
        <w:t>教育部关于加快建设高水平本科教育</w:t>
      </w:r>
      <w:r w:rsidRPr="00E0304A">
        <w:rPr>
          <w:rFonts w:ascii="方正小标宋简体" w:eastAsia="方正小标宋简体" w:hAnsi="仿宋" w:cs="宋体" w:hint="eastAsia"/>
          <w:bCs/>
          <w:color w:val="000000" w:themeColor="text1"/>
          <w:kern w:val="36"/>
          <w:sz w:val="36"/>
          <w:szCs w:val="36"/>
        </w:rPr>
        <w:br/>
        <w:t>全面提高人才培养能力的意见</w:t>
      </w:r>
    </w:p>
    <w:p w:rsidR="00E0304A" w:rsidRPr="00E0304A" w:rsidRDefault="00E0304A" w:rsidP="00E0304A">
      <w:pPr>
        <w:widowControl/>
        <w:shd w:val="clear" w:color="auto" w:fill="FFFFFF"/>
        <w:spacing w:line="520" w:lineRule="exact"/>
        <w:jc w:val="center"/>
        <w:rPr>
          <w:rFonts w:ascii="楷体" w:eastAsia="楷体" w:hAnsi="楷体" w:cs="宋体"/>
          <w:bCs/>
          <w:color w:val="000000" w:themeColor="text1"/>
          <w:kern w:val="0"/>
          <w:sz w:val="30"/>
          <w:szCs w:val="30"/>
        </w:rPr>
      </w:pPr>
      <w:proofErr w:type="gramStart"/>
      <w:r w:rsidRPr="00E0304A">
        <w:rPr>
          <w:rFonts w:ascii="楷体" w:eastAsia="楷体" w:hAnsi="楷体" w:cs="宋体" w:hint="eastAsia"/>
          <w:bCs/>
          <w:color w:val="000000" w:themeColor="text1"/>
          <w:kern w:val="0"/>
          <w:sz w:val="30"/>
          <w:szCs w:val="30"/>
        </w:rPr>
        <w:t>教高〔2018〕</w:t>
      </w:r>
      <w:proofErr w:type="gramEnd"/>
      <w:r w:rsidRPr="00E0304A">
        <w:rPr>
          <w:rFonts w:ascii="楷体" w:eastAsia="楷体" w:hAnsi="楷体" w:cs="宋体" w:hint="eastAsia"/>
          <w:bCs/>
          <w:color w:val="000000" w:themeColor="text1"/>
          <w:kern w:val="0"/>
          <w:sz w:val="30"/>
          <w:szCs w:val="30"/>
        </w:rPr>
        <w:t>2号</w:t>
      </w:r>
    </w:p>
    <w:p w:rsidR="00E0304A" w:rsidRPr="00E0304A" w:rsidRDefault="00E0304A" w:rsidP="00E0304A">
      <w:pPr>
        <w:widowControl/>
        <w:shd w:val="clear" w:color="auto" w:fill="FFFFFF"/>
        <w:spacing w:beforeLines="50" w:line="520" w:lineRule="exact"/>
        <w:jc w:val="right"/>
        <w:rPr>
          <w:rFonts w:ascii="仿宋" w:eastAsia="仿宋" w:hAnsi="仿宋" w:cs="宋体" w:hint="eastAsia"/>
          <w:b/>
          <w:bCs/>
          <w:vanish/>
          <w:color w:val="000000" w:themeColor="text1"/>
          <w:kern w:val="0"/>
          <w:sz w:val="30"/>
          <w:szCs w:val="30"/>
        </w:rPr>
      </w:pPr>
      <w:r w:rsidRPr="00E0304A">
        <w:rPr>
          <w:rFonts w:ascii="仿宋" w:eastAsia="仿宋" w:hAnsi="仿宋" w:cs="宋体" w:hint="eastAsia"/>
          <w:b/>
          <w:bCs/>
          <w:vanish/>
          <w:color w:val="000000" w:themeColor="text1"/>
          <w:kern w:val="0"/>
          <w:sz w:val="30"/>
          <w:szCs w:val="30"/>
        </w:rPr>
        <w:t>教高〔2018〕2号</w:t>
      </w:r>
    </w:p>
    <w:p w:rsidR="00E0304A" w:rsidRPr="00E0304A" w:rsidRDefault="00E0304A" w:rsidP="00E0304A">
      <w:pPr>
        <w:widowControl/>
        <w:shd w:val="clear" w:color="auto" w:fill="FFFFFF"/>
        <w:spacing w:beforeLines="50"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各省、自治区、直辖市教育厅（教委），新疆生产建设兵团教育局，有关部门（单位）教育司（局），部属各高等学校、部省合建各高等学校：</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w:t>
      </w:r>
      <w:r w:rsidRPr="00E0304A">
        <w:rPr>
          <w:rFonts w:ascii="仿宋" w:eastAsia="仿宋" w:hAnsi="仿宋" w:cs="宋体" w:hint="eastAsia"/>
          <w:b/>
          <w:bCs/>
          <w:color w:val="000000" w:themeColor="text1"/>
          <w:kern w:val="0"/>
          <w:sz w:val="30"/>
          <w:szCs w:val="30"/>
        </w:rPr>
        <w:t xml:space="preserve">一、建设高水平本科教育的重要意义和形势要求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2.准确把握建设高水平本科教育的形势要求。当前，我国高等教育正处于内涵发展、质量提升、改革攻坚的关键时期和全面提高人才</w:t>
      </w:r>
      <w:r w:rsidRPr="00E0304A">
        <w:rPr>
          <w:rFonts w:ascii="仿宋" w:eastAsia="仿宋" w:hAnsi="仿宋" w:cs="宋体" w:hint="eastAsia"/>
          <w:color w:val="000000" w:themeColor="text1"/>
          <w:kern w:val="0"/>
          <w:sz w:val="30"/>
          <w:szCs w:val="30"/>
        </w:rPr>
        <w:lastRenderedPageBreak/>
        <w:t>培养能力、建设高等教育强国的关键阶段。进入新时代以来，高等教育发展取得了历史性成就，高等教育综合改革全面推进，高校办学更加聚焦人才培养，立德</w:t>
      </w:r>
      <w:proofErr w:type="gramStart"/>
      <w:r w:rsidRPr="00E0304A">
        <w:rPr>
          <w:rFonts w:ascii="仿宋" w:eastAsia="仿宋" w:hAnsi="仿宋" w:cs="宋体" w:hint="eastAsia"/>
          <w:color w:val="000000" w:themeColor="text1"/>
          <w:kern w:val="0"/>
          <w:sz w:val="30"/>
          <w:szCs w:val="30"/>
        </w:rPr>
        <w:t>树人成效</w:t>
      </w:r>
      <w:proofErr w:type="gramEnd"/>
      <w:r w:rsidRPr="00E0304A">
        <w:rPr>
          <w:rFonts w:ascii="仿宋" w:eastAsia="仿宋" w:hAnsi="仿宋" w:cs="宋体" w:hint="eastAsia"/>
          <w:color w:val="000000" w:themeColor="text1"/>
          <w:kern w:val="0"/>
          <w:sz w:val="30"/>
          <w:szCs w:val="30"/>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二、建设高水平本科教育的指导思想和目标原则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w:t>
      </w:r>
      <w:r w:rsidRPr="00E0304A">
        <w:rPr>
          <w:rFonts w:ascii="仿宋" w:eastAsia="仿宋" w:hAnsi="仿宋" w:cs="宋体" w:hint="eastAsia"/>
          <w:color w:val="000000" w:themeColor="text1"/>
          <w:kern w:val="0"/>
          <w:sz w:val="30"/>
          <w:szCs w:val="30"/>
        </w:rPr>
        <w:lastRenderedPageBreak/>
        <w:t>界一流的高水平本科教育，为建设高等教育强国、加快实现教育现代化提供有力支撑。</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5.基本原则。</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坚持学生中心，全面发展。以促进学生全面发展为中心，既注重“教得好”，更注重“学得好”，激发学生学习兴趣和潜能，激励学生爱国、励志、求真、力行，增强学生的社会责任感、创新精神和实践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——坚持分类指导，特色发展。推动高校分类发展，引导各类高校发挥办学优势，在不同领域各展所长，建设优势特色专业，提高创新型、复合型、应用型人才培养质量，形成全局性改革成果。</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三、把思想政治教育贯穿高水平本科教育全过程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6.坚持正确办学方向。要全面加强高校党的建设，毫不动摇地坚持社会主义办学方向，办好高校马克思主义学院和思想政治理论课，加强面向全体学生的马克思主义理论教育，深化中国特色社会主义和</w:t>
      </w:r>
      <w:r w:rsidRPr="00E0304A">
        <w:rPr>
          <w:rFonts w:ascii="仿宋" w:eastAsia="仿宋" w:hAnsi="仿宋" w:cs="宋体" w:hint="eastAsia"/>
          <w:color w:val="000000" w:themeColor="text1"/>
          <w:kern w:val="0"/>
          <w:sz w:val="30"/>
          <w:szCs w:val="30"/>
        </w:rPr>
        <w:lastRenderedPageBreak/>
        <w:t>中国</w:t>
      </w:r>
      <w:proofErr w:type="gramStart"/>
      <w:r w:rsidRPr="00E0304A">
        <w:rPr>
          <w:rFonts w:ascii="仿宋" w:eastAsia="仿宋" w:hAnsi="仿宋" w:cs="宋体" w:hint="eastAsia"/>
          <w:color w:val="000000" w:themeColor="text1"/>
          <w:kern w:val="0"/>
          <w:sz w:val="30"/>
          <w:szCs w:val="30"/>
        </w:rPr>
        <w:t>梦宣传</w:t>
      </w:r>
      <w:proofErr w:type="gramEnd"/>
      <w:r w:rsidRPr="00E0304A">
        <w:rPr>
          <w:rFonts w:ascii="仿宋" w:eastAsia="仿宋" w:hAnsi="仿宋" w:cs="宋体" w:hint="eastAsia"/>
          <w:color w:val="000000" w:themeColor="text1"/>
          <w:kern w:val="0"/>
          <w:sz w:val="30"/>
          <w:szCs w:val="30"/>
        </w:rPr>
        <w:t>教育，大力推进习近平新时代中国特色社会主义思想进教材、进课堂、进头脑，不断增强学生的道路自信、理论自信、制度自信和文化自信。</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9.强化课程思政和专业思政。在构建全员、全过程、全方位“三全育人”大格局过程中，着力推动高校全面加强</w:t>
      </w:r>
      <w:proofErr w:type="gramStart"/>
      <w:r w:rsidRPr="00E0304A">
        <w:rPr>
          <w:rFonts w:ascii="仿宋" w:eastAsia="仿宋" w:hAnsi="仿宋" w:cs="宋体" w:hint="eastAsia"/>
          <w:color w:val="000000" w:themeColor="text1"/>
          <w:kern w:val="0"/>
          <w:sz w:val="30"/>
          <w:szCs w:val="30"/>
        </w:rPr>
        <w:t>课程思政建设</w:t>
      </w:r>
      <w:proofErr w:type="gramEnd"/>
      <w:r w:rsidRPr="00E0304A">
        <w:rPr>
          <w:rFonts w:ascii="仿宋" w:eastAsia="仿宋" w:hAnsi="仿宋" w:cs="宋体" w:hint="eastAsia"/>
          <w:color w:val="000000" w:themeColor="text1"/>
          <w:kern w:val="0"/>
          <w:sz w:val="30"/>
          <w:szCs w:val="30"/>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E0304A">
        <w:rPr>
          <w:rFonts w:ascii="仿宋" w:eastAsia="仿宋" w:hAnsi="仿宋" w:cs="宋体" w:hint="eastAsia"/>
          <w:color w:val="000000" w:themeColor="text1"/>
          <w:kern w:val="0"/>
          <w:sz w:val="30"/>
          <w:szCs w:val="30"/>
        </w:rPr>
        <w:t>课程思政示范</w:t>
      </w:r>
      <w:proofErr w:type="gramEnd"/>
      <w:r w:rsidRPr="00E0304A">
        <w:rPr>
          <w:rFonts w:ascii="仿宋" w:eastAsia="仿宋" w:hAnsi="仿宋" w:cs="宋体" w:hint="eastAsia"/>
          <w:color w:val="000000" w:themeColor="text1"/>
          <w:kern w:val="0"/>
          <w:sz w:val="30"/>
          <w:szCs w:val="30"/>
        </w:rPr>
        <w:t>课堂，选树一批课程</w:t>
      </w:r>
      <w:proofErr w:type="gramStart"/>
      <w:r w:rsidRPr="00E0304A">
        <w:rPr>
          <w:rFonts w:ascii="仿宋" w:eastAsia="仿宋" w:hAnsi="仿宋" w:cs="宋体" w:hint="eastAsia"/>
          <w:color w:val="000000" w:themeColor="text1"/>
          <w:kern w:val="0"/>
          <w:sz w:val="30"/>
          <w:szCs w:val="30"/>
        </w:rPr>
        <w:t>思政优秀</w:t>
      </w:r>
      <w:proofErr w:type="gramEnd"/>
      <w:r w:rsidRPr="00E0304A">
        <w:rPr>
          <w:rFonts w:ascii="仿宋" w:eastAsia="仿宋" w:hAnsi="仿宋" w:cs="宋体" w:hint="eastAsia"/>
          <w:color w:val="000000" w:themeColor="text1"/>
          <w:kern w:val="0"/>
          <w:sz w:val="30"/>
          <w:szCs w:val="30"/>
        </w:rPr>
        <w:t>教师，形成专业课教学与思想政治理论课教学紧密结合、同向同行的育人格局。</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四、围绕激发学生学习兴趣和潜能深化教学改革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lastRenderedPageBreak/>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11.推动课堂教学革命。以学生发展为中心，通过教学改革促进学习革命，积极推广小班化教学、混合式教学、翻转课堂，大力推进智慧教室建设，</w:t>
      </w:r>
      <w:proofErr w:type="gramStart"/>
      <w:r w:rsidRPr="00E0304A">
        <w:rPr>
          <w:rFonts w:ascii="仿宋" w:eastAsia="仿宋" w:hAnsi="仿宋" w:cs="宋体" w:hint="eastAsia"/>
          <w:color w:val="000000" w:themeColor="text1"/>
          <w:kern w:val="0"/>
          <w:sz w:val="30"/>
          <w:szCs w:val="30"/>
        </w:rPr>
        <w:t>构建线</w:t>
      </w:r>
      <w:proofErr w:type="gramEnd"/>
      <w:r w:rsidRPr="00E0304A">
        <w:rPr>
          <w:rFonts w:ascii="仿宋" w:eastAsia="仿宋" w:hAnsi="仿宋" w:cs="宋体" w:hint="eastAsia"/>
          <w:color w:val="000000" w:themeColor="text1"/>
          <w:kern w:val="0"/>
          <w:sz w:val="30"/>
          <w:szCs w:val="30"/>
        </w:rPr>
        <w:t>上线下相结合的教学模式。</w:t>
      </w:r>
      <w:proofErr w:type="gramStart"/>
      <w:r w:rsidRPr="00E0304A">
        <w:rPr>
          <w:rFonts w:ascii="仿宋" w:eastAsia="仿宋" w:hAnsi="仿宋" w:cs="宋体" w:hint="eastAsia"/>
          <w:color w:val="000000" w:themeColor="text1"/>
          <w:kern w:val="0"/>
          <w:sz w:val="30"/>
          <w:szCs w:val="30"/>
        </w:rPr>
        <w:t>因课制</w:t>
      </w:r>
      <w:proofErr w:type="gramEnd"/>
      <w:r w:rsidRPr="00E0304A">
        <w:rPr>
          <w:rFonts w:ascii="仿宋" w:eastAsia="仿宋" w:hAnsi="仿宋" w:cs="宋体" w:hint="eastAsia"/>
          <w:color w:val="000000" w:themeColor="text1"/>
          <w:kern w:val="0"/>
          <w:sz w:val="30"/>
          <w:szCs w:val="30"/>
        </w:rPr>
        <w:t>宜选择课堂教学方式方法，科学设计课程考核内容和方式，不断提高课堂教学质量。积极引导学生自我管理、主动学习， 激发求知欲望，提高学习效率，提升自主学习能力。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E0304A">
        <w:rPr>
          <w:rFonts w:ascii="仿宋" w:eastAsia="仿宋" w:hAnsi="仿宋" w:cs="宋体" w:hint="eastAsia"/>
          <w:color w:val="000000" w:themeColor="text1"/>
          <w:kern w:val="0"/>
          <w:sz w:val="30"/>
          <w:szCs w:val="30"/>
        </w:rPr>
        <w:t>以考辅教</w:t>
      </w:r>
      <w:proofErr w:type="gramEnd"/>
      <w:r w:rsidRPr="00E0304A">
        <w:rPr>
          <w:rFonts w:ascii="仿宋" w:eastAsia="仿宋" w:hAnsi="仿宋" w:cs="宋体" w:hint="eastAsia"/>
          <w:color w:val="000000" w:themeColor="text1"/>
          <w:kern w:val="0"/>
          <w:sz w:val="30"/>
          <w:szCs w:val="30"/>
        </w:rPr>
        <w:t>、以考促学，激励学生主动学习、刻苦学习。</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w:t>
      </w:r>
      <w:r w:rsidRPr="00E0304A">
        <w:rPr>
          <w:rFonts w:ascii="仿宋" w:eastAsia="仿宋" w:hAnsi="仿宋" w:cs="宋体" w:hint="eastAsia"/>
          <w:color w:val="000000" w:themeColor="text1"/>
          <w:kern w:val="0"/>
          <w:sz w:val="30"/>
          <w:szCs w:val="30"/>
        </w:rPr>
        <w:lastRenderedPageBreak/>
        <w:t>学、就业、创业提供权威、丰富的学生发展信息服务。高度重视并加强毕业生就业工作，提升就业指导服务水平，定期发布高校就业质量年度报告，建立就业与招生、人才培养联动机制。</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五、全面提高教师教书育人能力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lastRenderedPageBreak/>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sidRPr="00E0304A">
        <w:rPr>
          <w:rFonts w:ascii="仿宋" w:eastAsia="仿宋" w:hAnsi="仿宋" w:cs="宋体" w:hint="eastAsia"/>
          <w:color w:val="000000" w:themeColor="text1"/>
          <w:kern w:val="0"/>
          <w:sz w:val="30"/>
          <w:szCs w:val="30"/>
        </w:rPr>
        <w:t>因校制宜</w:t>
      </w:r>
      <w:proofErr w:type="gramEnd"/>
      <w:r w:rsidRPr="00E0304A">
        <w:rPr>
          <w:rFonts w:ascii="仿宋" w:eastAsia="仿宋" w:hAnsi="仿宋" w:cs="宋体" w:hint="eastAsia"/>
          <w:color w:val="000000" w:themeColor="text1"/>
          <w:kern w:val="0"/>
          <w:sz w:val="30"/>
          <w:szCs w:val="30"/>
        </w:rPr>
        <w:t>，建立健全多种形式的基层教学组织，广泛开展教育教学研究活动，提高教师现代信息技术与教育教学深度融合的能力。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六、大力推进一流专业建设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lastRenderedPageBreak/>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七、推进现代信息技术与教育教学深度融合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24.重塑教育教学形态。加快形成多元协同、内容丰富、应用广泛、服务及时的高等教育</w:t>
      </w:r>
      <w:proofErr w:type="gramStart"/>
      <w:r w:rsidRPr="00E0304A">
        <w:rPr>
          <w:rFonts w:ascii="仿宋" w:eastAsia="仿宋" w:hAnsi="仿宋" w:cs="宋体" w:hint="eastAsia"/>
          <w:color w:val="000000" w:themeColor="text1"/>
          <w:kern w:val="0"/>
          <w:sz w:val="30"/>
          <w:szCs w:val="30"/>
        </w:rPr>
        <w:t>云服务</w:t>
      </w:r>
      <w:proofErr w:type="gramEnd"/>
      <w:r w:rsidRPr="00E0304A">
        <w:rPr>
          <w:rFonts w:ascii="仿宋" w:eastAsia="仿宋" w:hAnsi="仿宋" w:cs="宋体" w:hint="eastAsia"/>
          <w:color w:val="000000" w:themeColor="text1"/>
          <w:kern w:val="0"/>
          <w:sz w:val="30"/>
          <w:szCs w:val="30"/>
        </w:rPr>
        <w:t>体系，打造适应学生自主学习、自主管理、</w:t>
      </w:r>
      <w:r w:rsidRPr="00E0304A">
        <w:rPr>
          <w:rFonts w:ascii="仿宋" w:eastAsia="仿宋" w:hAnsi="仿宋" w:cs="宋体" w:hint="eastAsia"/>
          <w:color w:val="000000" w:themeColor="text1"/>
          <w:kern w:val="0"/>
          <w:sz w:val="30"/>
          <w:szCs w:val="30"/>
        </w:rPr>
        <w:lastRenderedPageBreak/>
        <w:t>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25.大力</w:t>
      </w:r>
      <w:proofErr w:type="gramStart"/>
      <w:r w:rsidRPr="00E0304A">
        <w:rPr>
          <w:rFonts w:ascii="仿宋" w:eastAsia="仿宋" w:hAnsi="仿宋" w:cs="宋体" w:hint="eastAsia"/>
          <w:color w:val="000000" w:themeColor="text1"/>
          <w:kern w:val="0"/>
          <w:sz w:val="30"/>
          <w:szCs w:val="30"/>
        </w:rPr>
        <w:t>推进慕课和</w:t>
      </w:r>
      <w:proofErr w:type="gramEnd"/>
      <w:r w:rsidRPr="00E0304A">
        <w:rPr>
          <w:rFonts w:ascii="仿宋" w:eastAsia="仿宋" w:hAnsi="仿宋" w:cs="宋体" w:hint="eastAsia"/>
          <w:color w:val="000000" w:themeColor="text1"/>
          <w:kern w:val="0"/>
          <w:sz w:val="30"/>
          <w:szCs w:val="30"/>
        </w:rPr>
        <w:t>虚拟仿真实验建设。</w:t>
      </w:r>
      <w:proofErr w:type="gramStart"/>
      <w:r w:rsidRPr="00E0304A">
        <w:rPr>
          <w:rFonts w:ascii="仿宋" w:eastAsia="仿宋" w:hAnsi="仿宋" w:cs="宋体" w:hint="eastAsia"/>
          <w:color w:val="000000" w:themeColor="text1"/>
          <w:kern w:val="0"/>
          <w:sz w:val="30"/>
          <w:szCs w:val="30"/>
        </w:rPr>
        <w:t>发挥慕课在</w:t>
      </w:r>
      <w:proofErr w:type="gramEnd"/>
      <w:r w:rsidRPr="00E0304A">
        <w:rPr>
          <w:rFonts w:ascii="仿宋" w:eastAsia="仿宋" w:hAnsi="仿宋" w:cs="宋体" w:hint="eastAsia"/>
          <w:color w:val="000000" w:themeColor="text1"/>
          <w:kern w:val="0"/>
          <w:sz w:val="30"/>
          <w:szCs w:val="30"/>
        </w:rPr>
        <w:t>提高质量、促进公平方面的重大作用，制定</w:t>
      </w:r>
      <w:proofErr w:type="gramStart"/>
      <w:r w:rsidRPr="00E0304A">
        <w:rPr>
          <w:rFonts w:ascii="仿宋" w:eastAsia="仿宋" w:hAnsi="仿宋" w:cs="宋体" w:hint="eastAsia"/>
          <w:color w:val="000000" w:themeColor="text1"/>
          <w:kern w:val="0"/>
          <w:sz w:val="30"/>
          <w:szCs w:val="30"/>
        </w:rPr>
        <w:t>慕课标准</w:t>
      </w:r>
      <w:proofErr w:type="gramEnd"/>
      <w:r w:rsidRPr="00E0304A">
        <w:rPr>
          <w:rFonts w:ascii="仿宋" w:eastAsia="仿宋" w:hAnsi="仿宋" w:cs="宋体" w:hint="eastAsia"/>
          <w:color w:val="000000" w:themeColor="text1"/>
          <w:kern w:val="0"/>
          <w:sz w:val="30"/>
          <w:szCs w:val="30"/>
        </w:rPr>
        <w:t>体系，</w:t>
      </w:r>
      <w:proofErr w:type="gramStart"/>
      <w:r w:rsidRPr="00E0304A">
        <w:rPr>
          <w:rFonts w:ascii="仿宋" w:eastAsia="仿宋" w:hAnsi="仿宋" w:cs="宋体" w:hint="eastAsia"/>
          <w:color w:val="000000" w:themeColor="text1"/>
          <w:kern w:val="0"/>
          <w:sz w:val="30"/>
          <w:szCs w:val="30"/>
        </w:rPr>
        <w:t>规范慕课建设</w:t>
      </w:r>
      <w:proofErr w:type="gramEnd"/>
      <w:r w:rsidRPr="00E0304A">
        <w:rPr>
          <w:rFonts w:ascii="仿宋" w:eastAsia="仿宋" w:hAnsi="仿宋" w:cs="宋体" w:hint="eastAsia"/>
          <w:color w:val="000000" w:themeColor="text1"/>
          <w:kern w:val="0"/>
          <w:sz w:val="30"/>
          <w:szCs w:val="30"/>
        </w:rPr>
        <w:t>管理，规划建设一批高质量慕课，推出3000门国家精品在线开放课程，示范带动课程建设水平的整体提升。建设1000项左右国家虚拟仿真实验教学项目，提高实验教学质量和水平。</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26.共享优质教育资源。大力</w:t>
      </w:r>
      <w:proofErr w:type="gramStart"/>
      <w:r w:rsidRPr="00E0304A">
        <w:rPr>
          <w:rFonts w:ascii="仿宋" w:eastAsia="仿宋" w:hAnsi="仿宋" w:cs="宋体" w:hint="eastAsia"/>
          <w:color w:val="000000" w:themeColor="text1"/>
          <w:kern w:val="0"/>
          <w:sz w:val="30"/>
          <w:szCs w:val="30"/>
        </w:rPr>
        <w:t>加强慕课在</w:t>
      </w:r>
      <w:proofErr w:type="gramEnd"/>
      <w:r w:rsidRPr="00E0304A">
        <w:rPr>
          <w:rFonts w:ascii="仿宋" w:eastAsia="仿宋" w:hAnsi="仿宋" w:cs="宋体" w:hint="eastAsia"/>
          <w:color w:val="000000" w:themeColor="text1"/>
          <w:kern w:val="0"/>
          <w:sz w:val="30"/>
          <w:szCs w:val="30"/>
        </w:rPr>
        <w:t>中西部高校的推广使用，加快提升中西部高校教学水平。</w:t>
      </w:r>
      <w:proofErr w:type="gramStart"/>
      <w:r w:rsidRPr="00E0304A">
        <w:rPr>
          <w:rFonts w:ascii="仿宋" w:eastAsia="仿宋" w:hAnsi="仿宋" w:cs="宋体" w:hint="eastAsia"/>
          <w:color w:val="000000" w:themeColor="text1"/>
          <w:kern w:val="0"/>
          <w:sz w:val="30"/>
          <w:szCs w:val="30"/>
        </w:rPr>
        <w:t>建立慕课学分</w:t>
      </w:r>
      <w:proofErr w:type="gramEnd"/>
      <w:r w:rsidRPr="00E0304A">
        <w:rPr>
          <w:rFonts w:ascii="仿宋" w:eastAsia="仿宋" w:hAnsi="仿宋" w:cs="宋体" w:hint="eastAsia"/>
          <w:color w:val="000000" w:themeColor="text1"/>
          <w:kern w:val="0"/>
          <w:sz w:val="30"/>
          <w:szCs w:val="30"/>
        </w:rPr>
        <w:t>认定制度。以1万门国家级和1万门省级</w:t>
      </w:r>
      <w:proofErr w:type="gramStart"/>
      <w:r w:rsidRPr="00E0304A">
        <w:rPr>
          <w:rFonts w:ascii="仿宋" w:eastAsia="仿宋" w:hAnsi="仿宋" w:cs="宋体" w:hint="eastAsia"/>
          <w:color w:val="000000" w:themeColor="text1"/>
          <w:kern w:val="0"/>
          <w:sz w:val="30"/>
          <w:szCs w:val="30"/>
        </w:rPr>
        <w:t>一</w:t>
      </w:r>
      <w:proofErr w:type="gramEnd"/>
      <w:r w:rsidRPr="00E0304A">
        <w:rPr>
          <w:rFonts w:ascii="仿宋" w:eastAsia="仿宋" w:hAnsi="仿宋" w:cs="宋体" w:hint="eastAsia"/>
          <w:color w:val="000000" w:themeColor="text1"/>
          <w:kern w:val="0"/>
          <w:sz w:val="30"/>
          <w:szCs w:val="30"/>
        </w:rPr>
        <w:t>流线上线下精品课程建设为牵引，推动优质课程资源开放共享，</w:t>
      </w:r>
      <w:proofErr w:type="gramStart"/>
      <w:r w:rsidRPr="00E0304A">
        <w:rPr>
          <w:rFonts w:ascii="仿宋" w:eastAsia="仿宋" w:hAnsi="仿宋" w:cs="宋体" w:hint="eastAsia"/>
          <w:color w:val="000000" w:themeColor="text1"/>
          <w:kern w:val="0"/>
          <w:sz w:val="30"/>
          <w:szCs w:val="30"/>
        </w:rPr>
        <w:t>促进慕课等</w:t>
      </w:r>
      <w:proofErr w:type="gramEnd"/>
      <w:r w:rsidRPr="00E0304A">
        <w:rPr>
          <w:rFonts w:ascii="仿宋" w:eastAsia="仿宋" w:hAnsi="仿宋" w:cs="宋体" w:hint="eastAsia"/>
          <w:color w:val="000000" w:themeColor="text1"/>
          <w:kern w:val="0"/>
          <w:sz w:val="30"/>
          <w:szCs w:val="30"/>
        </w:rPr>
        <w:t>优质资源平台发展，鼓励教师多模式应用，鼓励学生多形式学习，提升公共服务水平，推动形成支持学习者人人皆学、处处能学、时时可学的泛在化学习新环境。</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八、构建全方位全过程深融合的协同育人新机制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28.加强实践育人平台建设。综合运用校内外资源，建设满足实践教学需要的实验实习实训平台。加强校内实验教学资源建设，构建功</w:t>
      </w:r>
      <w:r w:rsidRPr="00E0304A">
        <w:rPr>
          <w:rFonts w:ascii="仿宋" w:eastAsia="仿宋" w:hAnsi="仿宋" w:cs="宋体" w:hint="eastAsia"/>
          <w:color w:val="000000" w:themeColor="text1"/>
          <w:kern w:val="0"/>
          <w:sz w:val="30"/>
          <w:szCs w:val="30"/>
        </w:rPr>
        <w:lastRenderedPageBreak/>
        <w:t>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30.深化国际合作育人。主动服务国家对外开放战略，积极融入“一带一路”建设，推进与国外高水平大学开展联合培养，支持中外高校学生互换、学分互认、学位</w:t>
      </w:r>
      <w:proofErr w:type="gramStart"/>
      <w:r w:rsidRPr="00E0304A">
        <w:rPr>
          <w:rFonts w:ascii="仿宋" w:eastAsia="仿宋" w:hAnsi="仿宋" w:cs="宋体" w:hint="eastAsia"/>
          <w:color w:val="000000" w:themeColor="text1"/>
          <w:kern w:val="0"/>
          <w:sz w:val="30"/>
          <w:szCs w:val="30"/>
        </w:rPr>
        <w:t>互授联授</w:t>
      </w:r>
      <w:proofErr w:type="gramEnd"/>
      <w:r w:rsidRPr="00E0304A">
        <w:rPr>
          <w:rFonts w:ascii="仿宋" w:eastAsia="仿宋" w:hAnsi="仿宋" w:cs="宋体" w:hint="eastAsia"/>
          <w:color w:val="000000" w:themeColor="text1"/>
          <w:kern w:val="0"/>
          <w:sz w:val="30"/>
          <w:szCs w:val="30"/>
        </w:rPr>
        <w:t>，推荐优秀学生到国际组织任职、实习，选拔高校青年教师学术带头人赴国外高水平机构访学交流，加快引进国外优质教育资源，培养具有宽广国际视野的新时代人才。</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31.深化协同育人重点领域改革。推进校企深度融合，加快发展“新工科”，探索以推动创新与产业发展为导向的工程教育新模式。促进</w:t>
      </w:r>
      <w:proofErr w:type="gramStart"/>
      <w:r w:rsidRPr="00E0304A">
        <w:rPr>
          <w:rFonts w:ascii="仿宋" w:eastAsia="仿宋" w:hAnsi="仿宋" w:cs="宋体" w:hint="eastAsia"/>
          <w:color w:val="000000" w:themeColor="text1"/>
          <w:kern w:val="0"/>
          <w:sz w:val="30"/>
          <w:szCs w:val="30"/>
        </w:rPr>
        <w:t>医</w:t>
      </w:r>
      <w:proofErr w:type="gramEnd"/>
      <w:r w:rsidRPr="00E0304A">
        <w:rPr>
          <w:rFonts w:ascii="仿宋" w:eastAsia="仿宋" w:hAnsi="仿宋" w:cs="宋体" w:hint="eastAsia"/>
          <w:color w:val="000000" w:themeColor="text1"/>
          <w:kern w:val="0"/>
          <w:sz w:val="30"/>
          <w:szCs w:val="30"/>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w:t>
      </w:r>
      <w:r w:rsidRPr="00E0304A">
        <w:rPr>
          <w:rFonts w:ascii="仿宋" w:eastAsia="仿宋" w:hAnsi="仿宋" w:cs="宋体" w:hint="eastAsia"/>
          <w:color w:val="000000" w:themeColor="text1"/>
          <w:kern w:val="0"/>
          <w:sz w:val="30"/>
          <w:szCs w:val="30"/>
        </w:rPr>
        <w:lastRenderedPageBreak/>
        <w:t>师教育创新实验区。深化科教结合，加强高校与各类科研院所协作，提高基础学科拔尖人才培养能力。</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九、加强大学质量文化建设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sidRPr="00E0304A">
        <w:rPr>
          <w:rFonts w:ascii="仿宋" w:eastAsia="仿宋" w:hAnsi="仿宋" w:cs="宋体" w:hint="eastAsia"/>
          <w:color w:val="000000" w:themeColor="text1"/>
          <w:kern w:val="0"/>
          <w:sz w:val="30"/>
          <w:szCs w:val="30"/>
        </w:rPr>
        <w:t>全领域</w:t>
      </w:r>
      <w:proofErr w:type="gramEnd"/>
      <w:r w:rsidRPr="00E0304A">
        <w:rPr>
          <w:rFonts w:ascii="仿宋" w:eastAsia="仿宋" w:hAnsi="仿宋" w:cs="宋体" w:hint="eastAsia"/>
          <w:color w:val="000000" w:themeColor="text1"/>
          <w:kern w:val="0"/>
          <w:sz w:val="30"/>
          <w:szCs w:val="30"/>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35.发挥专家组织和社会机构在质量评价中的作用。充分发挥高等学校教学指导委员会、高等学校本科教学工作评估专家委员会等学术</w:t>
      </w:r>
      <w:r w:rsidRPr="00E0304A">
        <w:rPr>
          <w:rFonts w:ascii="仿宋" w:eastAsia="仿宋" w:hAnsi="仿宋" w:cs="宋体" w:hint="eastAsia"/>
          <w:color w:val="000000" w:themeColor="text1"/>
          <w:kern w:val="0"/>
          <w:sz w:val="30"/>
          <w:szCs w:val="30"/>
        </w:rPr>
        <w:lastRenderedPageBreak/>
        <w:t>组织在标准制订、评估监测及学风建设方面的重要作用。充分发挥行业部门在人才培养、需求分析、标准制订和专业认证等方面的作用。通过政府购买服务方式，支持社会专业评估机构开展高等教育质量评估。</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b/>
          <w:bCs/>
          <w:color w:val="000000" w:themeColor="text1"/>
          <w:kern w:val="0"/>
          <w:sz w:val="30"/>
          <w:szCs w:val="30"/>
        </w:rPr>
        <w:t xml:space="preserve">　　十、切实做好高水平本科教育建设工作的组织实施 </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E0304A" w:rsidRPr="00E0304A" w:rsidRDefault="00E0304A" w:rsidP="00E0304A">
      <w:pPr>
        <w:widowControl/>
        <w:shd w:val="clear" w:color="auto" w:fill="FFFFFF"/>
        <w:spacing w:line="520" w:lineRule="exact"/>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 xml:space="preserve">　　39.强化支持保障。教育部会同有关部门围绕高水平本科教育建设，加大政策支持力度，制定实施“六卓越</w:t>
      </w:r>
      <w:proofErr w:type="gramStart"/>
      <w:r w:rsidRPr="00E0304A">
        <w:rPr>
          <w:rFonts w:ascii="仿宋" w:eastAsia="仿宋" w:hAnsi="仿宋" w:cs="宋体" w:hint="eastAsia"/>
          <w:color w:val="000000" w:themeColor="text1"/>
          <w:kern w:val="0"/>
          <w:sz w:val="30"/>
          <w:szCs w:val="30"/>
        </w:rPr>
        <w:t>一</w:t>
      </w:r>
      <w:proofErr w:type="gramEnd"/>
      <w:r w:rsidRPr="00E0304A">
        <w:rPr>
          <w:rFonts w:ascii="仿宋" w:eastAsia="仿宋" w:hAnsi="仿宋" w:cs="宋体" w:hint="eastAsia"/>
          <w:color w:val="000000" w:themeColor="text1"/>
          <w:kern w:val="0"/>
          <w:sz w:val="30"/>
          <w:szCs w:val="30"/>
        </w:rPr>
        <w:t>拔尖”计划2.0等重大项目。各地教育主管部门要加强政策协调配套，统筹地方财政高等教育资金</w:t>
      </w:r>
      <w:r w:rsidRPr="00E0304A">
        <w:rPr>
          <w:rFonts w:ascii="仿宋" w:eastAsia="仿宋" w:hAnsi="仿宋" w:cs="宋体" w:hint="eastAsia"/>
          <w:color w:val="000000" w:themeColor="text1"/>
          <w:kern w:val="0"/>
          <w:sz w:val="30"/>
          <w:szCs w:val="30"/>
        </w:rPr>
        <w:lastRenderedPageBreak/>
        <w:t>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E0304A">
        <w:rPr>
          <w:rFonts w:ascii="仿宋" w:eastAsia="仿宋" w:hAnsi="仿宋" w:cs="宋体" w:hint="eastAsia"/>
          <w:color w:val="000000" w:themeColor="text1"/>
          <w:kern w:val="0"/>
          <w:sz w:val="30"/>
          <w:szCs w:val="30"/>
        </w:rPr>
        <w:t>专项等</w:t>
      </w:r>
      <w:proofErr w:type="gramEnd"/>
      <w:r w:rsidRPr="00E0304A">
        <w:rPr>
          <w:rFonts w:ascii="仿宋" w:eastAsia="仿宋" w:hAnsi="仿宋" w:cs="宋体" w:hint="eastAsia"/>
          <w:color w:val="000000" w:themeColor="text1"/>
          <w:kern w:val="0"/>
          <w:sz w:val="30"/>
          <w:szCs w:val="30"/>
        </w:rPr>
        <w:t>中央高校预算拨款和其他各类资源，结合学校实际，支持高水平本科教育建设。</w:t>
      </w:r>
    </w:p>
    <w:p w:rsidR="00E0304A" w:rsidRDefault="00E0304A" w:rsidP="00E0304A">
      <w:pPr>
        <w:widowControl/>
        <w:shd w:val="clear" w:color="auto" w:fill="FFFFFF"/>
        <w:spacing w:line="520" w:lineRule="exact"/>
        <w:ind w:firstLine="600"/>
        <w:jc w:val="lef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E0304A" w:rsidRDefault="00E0304A" w:rsidP="00E0304A">
      <w:pPr>
        <w:widowControl/>
        <w:shd w:val="clear" w:color="auto" w:fill="FFFFFF"/>
        <w:spacing w:line="520" w:lineRule="exact"/>
        <w:ind w:firstLine="600"/>
        <w:jc w:val="left"/>
        <w:rPr>
          <w:rFonts w:ascii="仿宋" w:eastAsia="仿宋" w:hAnsi="仿宋" w:cs="宋体" w:hint="eastAsia"/>
          <w:color w:val="000000" w:themeColor="text1"/>
          <w:kern w:val="0"/>
          <w:sz w:val="30"/>
          <w:szCs w:val="30"/>
        </w:rPr>
      </w:pPr>
    </w:p>
    <w:p w:rsidR="00E0304A" w:rsidRPr="00E0304A" w:rsidRDefault="00E0304A" w:rsidP="00E0304A">
      <w:pPr>
        <w:widowControl/>
        <w:shd w:val="clear" w:color="auto" w:fill="FFFFFF"/>
        <w:spacing w:line="520" w:lineRule="exact"/>
        <w:ind w:right="600"/>
        <w:jc w:val="center"/>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 xml:space="preserve">                                              </w:t>
      </w:r>
      <w:r w:rsidRPr="00E0304A">
        <w:rPr>
          <w:rFonts w:ascii="仿宋" w:eastAsia="仿宋" w:hAnsi="仿宋" w:cs="宋体" w:hint="eastAsia"/>
          <w:color w:val="000000" w:themeColor="text1"/>
          <w:kern w:val="0"/>
          <w:sz w:val="30"/>
          <w:szCs w:val="30"/>
        </w:rPr>
        <w:t>教育部</w:t>
      </w:r>
    </w:p>
    <w:p w:rsidR="00E0304A" w:rsidRPr="00E0304A" w:rsidRDefault="00E0304A" w:rsidP="00E0304A">
      <w:pPr>
        <w:widowControl/>
        <w:shd w:val="clear" w:color="auto" w:fill="FFFFFF"/>
        <w:spacing w:line="520" w:lineRule="exact"/>
        <w:ind w:right="120"/>
        <w:jc w:val="right"/>
        <w:rPr>
          <w:rFonts w:ascii="仿宋" w:eastAsia="仿宋" w:hAnsi="仿宋" w:cs="宋体" w:hint="eastAsia"/>
          <w:color w:val="000000" w:themeColor="text1"/>
          <w:kern w:val="0"/>
          <w:sz w:val="30"/>
          <w:szCs w:val="30"/>
        </w:rPr>
      </w:pPr>
      <w:r w:rsidRPr="00E0304A">
        <w:rPr>
          <w:rFonts w:ascii="仿宋" w:eastAsia="仿宋" w:hAnsi="仿宋" w:cs="宋体" w:hint="eastAsia"/>
          <w:color w:val="000000" w:themeColor="text1"/>
          <w:kern w:val="0"/>
          <w:sz w:val="30"/>
          <w:szCs w:val="30"/>
        </w:rPr>
        <w:t>2018年9月17日</w:t>
      </w:r>
    </w:p>
    <w:p w:rsidR="00E0304A" w:rsidRPr="00E0304A" w:rsidRDefault="00E0304A" w:rsidP="00E0304A">
      <w:pPr>
        <w:widowControl/>
        <w:shd w:val="clear" w:color="auto" w:fill="FFFFFF"/>
        <w:spacing w:line="520" w:lineRule="exact"/>
        <w:jc w:val="center"/>
        <w:rPr>
          <w:rFonts w:ascii="仿宋" w:eastAsia="仿宋" w:hAnsi="仿宋" w:cs="宋体" w:hint="eastAsia"/>
          <w:vanish/>
          <w:color w:val="000000" w:themeColor="text1"/>
          <w:kern w:val="0"/>
          <w:sz w:val="30"/>
          <w:szCs w:val="30"/>
        </w:rPr>
      </w:pPr>
      <w:r w:rsidRPr="00E0304A">
        <w:rPr>
          <w:rFonts w:ascii="仿宋" w:eastAsia="仿宋" w:hAnsi="仿宋" w:cs="宋体"/>
          <w:vanish/>
          <w:color w:val="000000" w:themeColor="text1"/>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0304A">
        <w:rPr>
          <w:rFonts w:ascii="仿宋" w:eastAsia="仿宋" w:hAnsi="仿宋" w:cs="宋体" w:hint="eastAsia"/>
          <w:vanish/>
          <w:color w:val="000000" w:themeColor="text1"/>
          <w:kern w:val="0"/>
          <w:sz w:val="30"/>
          <w:szCs w:val="30"/>
        </w:rPr>
        <w:br/>
        <w:t>扫一扫分享本页</w:t>
      </w:r>
    </w:p>
    <w:sectPr w:rsidR="00E0304A" w:rsidRPr="00E0304A" w:rsidSect="00E0304A">
      <w:footerReference w:type="even" r:id="rId6"/>
      <w:footerReference w:type="default" r:id="rId7"/>
      <w:pgSz w:w="11906" w:h="16838"/>
      <w:pgMar w:top="1440" w:right="1418" w:bottom="1440"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7C" w:rsidRDefault="0090337C" w:rsidP="00E0304A">
      <w:r>
        <w:separator/>
      </w:r>
    </w:p>
  </w:endnote>
  <w:endnote w:type="continuationSeparator" w:id="0">
    <w:p w:rsidR="0090337C" w:rsidRDefault="0090337C" w:rsidP="00E03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474"/>
      <w:docPartObj>
        <w:docPartGallery w:val="Page Numbers (Bottom of Page)"/>
        <w:docPartUnique/>
      </w:docPartObj>
    </w:sdtPr>
    <w:sdtEndPr>
      <w:rPr>
        <w:sz w:val="24"/>
        <w:szCs w:val="24"/>
      </w:rPr>
    </w:sdtEndPr>
    <w:sdtContent>
      <w:p w:rsidR="00E0304A" w:rsidRPr="00E0304A" w:rsidRDefault="00E0304A">
        <w:pPr>
          <w:pStyle w:val="a8"/>
          <w:rPr>
            <w:sz w:val="24"/>
            <w:szCs w:val="24"/>
          </w:rPr>
        </w:pPr>
        <w:r w:rsidRPr="00E0304A">
          <w:rPr>
            <w:sz w:val="24"/>
            <w:szCs w:val="24"/>
          </w:rPr>
          <w:fldChar w:fldCharType="begin"/>
        </w:r>
        <w:r w:rsidRPr="00E0304A">
          <w:rPr>
            <w:sz w:val="24"/>
            <w:szCs w:val="24"/>
          </w:rPr>
          <w:instrText xml:space="preserve"> PAGE   \* MERGEFORMAT </w:instrText>
        </w:r>
        <w:r w:rsidRPr="00E0304A">
          <w:rPr>
            <w:sz w:val="24"/>
            <w:szCs w:val="24"/>
          </w:rPr>
          <w:fldChar w:fldCharType="separate"/>
        </w:r>
        <w:r w:rsidRPr="00E0304A">
          <w:rPr>
            <w:noProof/>
            <w:sz w:val="24"/>
            <w:szCs w:val="24"/>
            <w:lang w:val="zh-CN"/>
          </w:rPr>
          <w:t>-</w:t>
        </w:r>
        <w:r>
          <w:rPr>
            <w:noProof/>
            <w:sz w:val="24"/>
            <w:szCs w:val="24"/>
          </w:rPr>
          <w:t xml:space="preserve"> 2 -</w:t>
        </w:r>
        <w:r w:rsidRPr="00E0304A">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472"/>
      <w:docPartObj>
        <w:docPartGallery w:val="Page Numbers (Bottom of Page)"/>
        <w:docPartUnique/>
      </w:docPartObj>
    </w:sdtPr>
    <w:sdtEndPr>
      <w:rPr>
        <w:sz w:val="24"/>
        <w:szCs w:val="24"/>
      </w:rPr>
    </w:sdtEndPr>
    <w:sdtContent>
      <w:p w:rsidR="00E0304A" w:rsidRPr="00E0304A" w:rsidRDefault="00E0304A" w:rsidP="00E0304A">
        <w:pPr>
          <w:pStyle w:val="a8"/>
          <w:jc w:val="right"/>
          <w:rPr>
            <w:sz w:val="24"/>
            <w:szCs w:val="24"/>
          </w:rPr>
        </w:pPr>
        <w:r w:rsidRPr="00E0304A">
          <w:rPr>
            <w:sz w:val="24"/>
            <w:szCs w:val="24"/>
          </w:rPr>
          <w:fldChar w:fldCharType="begin"/>
        </w:r>
        <w:r w:rsidRPr="00E0304A">
          <w:rPr>
            <w:sz w:val="24"/>
            <w:szCs w:val="24"/>
          </w:rPr>
          <w:instrText xml:space="preserve"> PAGE   \* MERGEFORMAT </w:instrText>
        </w:r>
        <w:r w:rsidRPr="00E0304A">
          <w:rPr>
            <w:sz w:val="24"/>
            <w:szCs w:val="24"/>
          </w:rPr>
          <w:fldChar w:fldCharType="separate"/>
        </w:r>
        <w:r w:rsidRPr="00E0304A">
          <w:rPr>
            <w:noProof/>
            <w:sz w:val="24"/>
            <w:szCs w:val="24"/>
            <w:lang w:val="zh-CN"/>
          </w:rPr>
          <w:t>-</w:t>
        </w:r>
        <w:r>
          <w:rPr>
            <w:noProof/>
            <w:sz w:val="24"/>
            <w:szCs w:val="24"/>
          </w:rPr>
          <w:t xml:space="preserve"> 1 -</w:t>
        </w:r>
        <w:r w:rsidRPr="00E0304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7C" w:rsidRDefault="0090337C" w:rsidP="00E0304A">
      <w:r>
        <w:separator/>
      </w:r>
    </w:p>
  </w:footnote>
  <w:footnote w:type="continuationSeparator" w:id="0">
    <w:p w:rsidR="0090337C" w:rsidRDefault="0090337C" w:rsidP="00E03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04A"/>
    <w:rsid w:val="00301083"/>
    <w:rsid w:val="00624AAC"/>
    <w:rsid w:val="00866BEB"/>
    <w:rsid w:val="0090337C"/>
    <w:rsid w:val="00AC1C3C"/>
    <w:rsid w:val="00E0304A"/>
    <w:rsid w:val="00F25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49"/>
    <w:pPr>
      <w:widowControl w:val="0"/>
      <w:jc w:val="both"/>
    </w:pPr>
  </w:style>
  <w:style w:type="paragraph" w:styleId="1">
    <w:name w:val="heading 1"/>
    <w:basedOn w:val="a"/>
    <w:link w:val="1Char"/>
    <w:uiPriority w:val="9"/>
    <w:qFormat/>
    <w:rsid w:val="00E0304A"/>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E0304A"/>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0304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304A"/>
    <w:rPr>
      <w:rFonts w:ascii="宋体" w:eastAsia="宋体" w:hAnsi="宋体" w:cs="宋体"/>
      <w:b/>
      <w:bCs/>
      <w:kern w:val="36"/>
      <w:sz w:val="48"/>
      <w:szCs w:val="48"/>
    </w:rPr>
  </w:style>
  <w:style w:type="character" w:customStyle="1" w:styleId="5Char">
    <w:name w:val="标题 5 Char"/>
    <w:basedOn w:val="a0"/>
    <w:link w:val="5"/>
    <w:uiPriority w:val="9"/>
    <w:rsid w:val="00E0304A"/>
    <w:rPr>
      <w:rFonts w:ascii="宋体" w:eastAsia="宋体" w:hAnsi="宋体" w:cs="宋体"/>
      <w:b/>
      <w:bCs/>
      <w:kern w:val="0"/>
      <w:sz w:val="20"/>
      <w:szCs w:val="20"/>
    </w:rPr>
  </w:style>
  <w:style w:type="character" w:customStyle="1" w:styleId="6Char">
    <w:name w:val="标题 6 Char"/>
    <w:basedOn w:val="a0"/>
    <w:link w:val="6"/>
    <w:uiPriority w:val="9"/>
    <w:rsid w:val="00E0304A"/>
    <w:rPr>
      <w:rFonts w:ascii="宋体" w:eastAsia="宋体" w:hAnsi="宋体" w:cs="宋体"/>
      <w:b/>
      <w:bCs/>
      <w:kern w:val="0"/>
      <w:sz w:val="15"/>
      <w:szCs w:val="15"/>
    </w:rPr>
  </w:style>
  <w:style w:type="character" w:styleId="a3">
    <w:name w:val="Hyperlink"/>
    <w:basedOn w:val="a0"/>
    <w:uiPriority w:val="99"/>
    <w:semiHidden/>
    <w:unhideWhenUsed/>
    <w:rsid w:val="00E0304A"/>
    <w:rPr>
      <w:strike w:val="0"/>
      <w:dstrike w:val="0"/>
      <w:color w:val="0000FF"/>
      <w:u w:val="none"/>
      <w:effect w:val="none"/>
    </w:rPr>
  </w:style>
  <w:style w:type="character" w:styleId="a4">
    <w:name w:val="FollowedHyperlink"/>
    <w:basedOn w:val="a0"/>
    <w:uiPriority w:val="99"/>
    <w:semiHidden/>
    <w:unhideWhenUsed/>
    <w:rsid w:val="00E0304A"/>
    <w:rPr>
      <w:strike w:val="0"/>
      <w:dstrike w:val="0"/>
      <w:color w:val="800080"/>
      <w:u w:val="none"/>
      <w:effect w:val="none"/>
    </w:rPr>
  </w:style>
  <w:style w:type="character" w:styleId="a5">
    <w:name w:val="Strong"/>
    <w:basedOn w:val="a0"/>
    <w:uiPriority w:val="22"/>
    <w:qFormat/>
    <w:rsid w:val="00E0304A"/>
    <w:rPr>
      <w:b/>
      <w:bCs/>
    </w:rPr>
  </w:style>
  <w:style w:type="paragraph" w:styleId="a6">
    <w:name w:val="Normal (Web)"/>
    <w:basedOn w:val="a"/>
    <w:uiPriority w:val="99"/>
    <w:semiHidden/>
    <w:unhideWhenUsed/>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E0304A"/>
    <w:pPr>
      <w:widowControl/>
      <w:jc w:val="left"/>
    </w:pPr>
    <w:rPr>
      <w:rFonts w:ascii="宋体" w:eastAsia="宋体" w:hAnsi="宋体" w:cs="宋体"/>
      <w:kern w:val="0"/>
      <w:sz w:val="24"/>
      <w:szCs w:val="24"/>
    </w:rPr>
  </w:style>
  <w:style w:type="paragraph" w:customStyle="1" w:styleId="xxgklogo">
    <w:name w:val="xxgk_logo"/>
    <w:basedOn w:val="a"/>
    <w:rsid w:val="00E0304A"/>
    <w:pPr>
      <w:widowControl/>
      <w:spacing w:before="600" w:after="720"/>
      <w:jc w:val="left"/>
    </w:pPr>
    <w:rPr>
      <w:rFonts w:ascii="宋体" w:eastAsia="宋体" w:hAnsi="宋体" w:cs="宋体"/>
      <w:kern w:val="0"/>
      <w:sz w:val="24"/>
      <w:szCs w:val="24"/>
    </w:rPr>
  </w:style>
  <w:style w:type="paragraph" w:customStyle="1" w:styleId="xxgkjs">
    <w:name w:val="xxgk_js"/>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E0304A"/>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E0304A"/>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E0304A"/>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E0304A"/>
    <w:pPr>
      <w:widowControl/>
      <w:jc w:val="left"/>
    </w:pPr>
    <w:rPr>
      <w:rFonts w:ascii="宋体" w:eastAsia="宋体" w:hAnsi="宋体" w:cs="宋体"/>
      <w:kern w:val="0"/>
      <w:sz w:val="24"/>
      <w:szCs w:val="24"/>
    </w:rPr>
  </w:style>
  <w:style w:type="paragraph" w:customStyle="1" w:styleId="xxgkfootnrs">
    <w:name w:val="xxgk_foot_nrs"/>
    <w:basedOn w:val="a"/>
    <w:rsid w:val="00E0304A"/>
    <w:pPr>
      <w:widowControl/>
      <w:jc w:val="left"/>
    </w:pPr>
    <w:rPr>
      <w:rFonts w:ascii="宋体" w:eastAsia="宋体" w:hAnsi="宋体" w:cs="宋体"/>
      <w:kern w:val="0"/>
      <w:sz w:val="24"/>
      <w:szCs w:val="24"/>
    </w:rPr>
  </w:style>
  <w:style w:type="paragraph" w:customStyle="1" w:styleId="xxgkfootzj">
    <w:name w:val="xxgk_foot_zj"/>
    <w:basedOn w:val="a"/>
    <w:rsid w:val="00E0304A"/>
    <w:pPr>
      <w:widowControl/>
      <w:spacing w:before="300"/>
      <w:jc w:val="left"/>
    </w:pPr>
    <w:rPr>
      <w:rFonts w:ascii="宋体" w:eastAsia="宋体" w:hAnsi="宋体" w:cs="宋体"/>
      <w:kern w:val="0"/>
      <w:sz w:val="24"/>
      <w:szCs w:val="24"/>
    </w:rPr>
  </w:style>
  <w:style w:type="paragraph" w:customStyle="1" w:styleId="xxgkfootxia">
    <w:name w:val="xxgk_foot_xia"/>
    <w:basedOn w:val="a"/>
    <w:rsid w:val="00E0304A"/>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E0304A"/>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E0304A"/>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E0304A"/>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E0304A"/>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E0304A"/>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E0304A"/>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E0304A"/>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E0304A"/>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E0304A"/>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E0304A"/>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E0304A"/>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E0304A"/>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E0304A"/>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E0304A"/>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E0304A"/>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E0304A"/>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E0304A"/>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E0304A"/>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E0304A"/>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a7">
    <w:name w:val="header"/>
    <w:basedOn w:val="a"/>
    <w:link w:val="Char"/>
    <w:uiPriority w:val="99"/>
    <w:semiHidden/>
    <w:unhideWhenUsed/>
    <w:rsid w:val="00E03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0304A"/>
    <w:rPr>
      <w:sz w:val="18"/>
      <w:szCs w:val="18"/>
    </w:rPr>
  </w:style>
  <w:style w:type="paragraph" w:styleId="a8">
    <w:name w:val="footer"/>
    <w:basedOn w:val="a"/>
    <w:link w:val="Char0"/>
    <w:uiPriority w:val="99"/>
    <w:unhideWhenUsed/>
    <w:rsid w:val="00E0304A"/>
    <w:pPr>
      <w:tabs>
        <w:tab w:val="center" w:pos="4153"/>
        <w:tab w:val="right" w:pos="8306"/>
      </w:tabs>
      <w:snapToGrid w:val="0"/>
      <w:jc w:val="left"/>
    </w:pPr>
    <w:rPr>
      <w:sz w:val="18"/>
      <w:szCs w:val="18"/>
    </w:rPr>
  </w:style>
  <w:style w:type="character" w:customStyle="1" w:styleId="Char0">
    <w:name w:val="页脚 Char"/>
    <w:basedOn w:val="a0"/>
    <w:link w:val="a8"/>
    <w:uiPriority w:val="99"/>
    <w:rsid w:val="00E0304A"/>
    <w:rPr>
      <w:sz w:val="18"/>
      <w:szCs w:val="18"/>
    </w:rPr>
  </w:style>
</w:styles>
</file>

<file path=word/webSettings.xml><?xml version="1.0" encoding="utf-8"?>
<w:webSettings xmlns:r="http://schemas.openxmlformats.org/officeDocument/2006/relationships" xmlns:w="http://schemas.openxmlformats.org/wordprocessingml/2006/main">
  <w:divs>
    <w:div w:id="126750893">
      <w:bodyDiv w:val="1"/>
      <w:marLeft w:val="0"/>
      <w:marRight w:val="0"/>
      <w:marTop w:val="0"/>
      <w:marBottom w:val="0"/>
      <w:divBdr>
        <w:top w:val="none" w:sz="0" w:space="0" w:color="auto"/>
        <w:left w:val="none" w:sz="0" w:space="0" w:color="auto"/>
        <w:bottom w:val="none" w:sz="0" w:space="0" w:color="auto"/>
        <w:right w:val="none" w:sz="0" w:space="0" w:color="auto"/>
      </w:divBdr>
      <w:divsChild>
        <w:div w:id="682896150">
          <w:marLeft w:val="0"/>
          <w:marRight w:val="0"/>
          <w:marTop w:val="0"/>
          <w:marBottom w:val="0"/>
          <w:divBdr>
            <w:top w:val="none" w:sz="0" w:space="0" w:color="auto"/>
            <w:left w:val="none" w:sz="0" w:space="0" w:color="auto"/>
            <w:bottom w:val="none" w:sz="0" w:space="0" w:color="auto"/>
            <w:right w:val="none" w:sz="0" w:space="0" w:color="auto"/>
          </w:divBdr>
          <w:divsChild>
            <w:div w:id="1790202393">
              <w:marLeft w:val="0"/>
              <w:marRight w:val="0"/>
              <w:marTop w:val="0"/>
              <w:marBottom w:val="0"/>
              <w:divBdr>
                <w:top w:val="single" w:sz="6" w:space="31" w:color="BCBCBC"/>
                <w:left w:val="single" w:sz="6" w:space="31" w:color="BCBCBC"/>
                <w:bottom w:val="single" w:sz="6" w:space="15" w:color="BCBCBC"/>
                <w:right w:val="single" w:sz="6" w:space="31" w:color="BCBCBC"/>
              </w:divBdr>
              <w:divsChild>
                <w:div w:id="2117408782">
                  <w:marLeft w:val="0"/>
                  <w:marRight w:val="0"/>
                  <w:marTop w:val="0"/>
                  <w:marBottom w:val="0"/>
                  <w:divBdr>
                    <w:top w:val="none" w:sz="0" w:space="0" w:color="auto"/>
                    <w:left w:val="none" w:sz="0" w:space="0" w:color="auto"/>
                    <w:bottom w:val="none" w:sz="0" w:space="0" w:color="auto"/>
                    <w:right w:val="none" w:sz="0" w:space="0" w:color="auto"/>
                  </w:divBdr>
                  <w:divsChild>
                    <w:div w:id="6456225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臧琰琰</dc:creator>
  <cp:lastModifiedBy>臧琰琰</cp:lastModifiedBy>
  <cp:revision>1</cp:revision>
  <dcterms:created xsi:type="dcterms:W3CDTF">2018-12-05T00:26:00Z</dcterms:created>
  <dcterms:modified xsi:type="dcterms:W3CDTF">2018-12-05T00:31:00Z</dcterms:modified>
</cp:coreProperties>
</file>