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722CB">
      <w:pPr>
        <w:widowControl w:val="0"/>
        <w:rPr>
          <w:rFonts w:ascii="黑体" w:hAnsi="黑体" w:eastAsia="黑体"/>
          <w:sz w:val="32"/>
          <w:szCs w:val="32"/>
        </w:rPr>
      </w:pPr>
      <w:bookmarkStart w:id="0" w:name="_GoBack"/>
      <w:r>
        <w:rPr>
          <w:rFonts w:hint="eastAsia" w:ascii="黑体" w:hAnsi="黑体" w:eastAsia="黑体"/>
          <w:sz w:val="32"/>
          <w:szCs w:val="32"/>
        </w:rPr>
        <w:t>附件1</w:t>
      </w:r>
    </w:p>
    <w:p w14:paraId="5FECDD88">
      <w:pPr>
        <w:widowControl w:val="0"/>
        <w:ind w:firstLine="640" w:firstLineChars="200"/>
        <w:rPr>
          <w:rFonts w:ascii="黑体" w:hAnsi="黑体" w:eastAsia="黑体"/>
          <w:sz w:val="32"/>
          <w:szCs w:val="32"/>
        </w:rPr>
      </w:pPr>
    </w:p>
    <w:p w14:paraId="70C4B0F3">
      <w:pPr>
        <w:widowControl w:val="0"/>
        <w:ind w:left="0" w:leftChars="0"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重点项目指南研究方向</w:t>
      </w:r>
    </w:p>
    <w:bookmarkEnd w:id="0"/>
    <w:p w14:paraId="59C275FA">
      <w:pPr>
        <w:widowControl w:val="0"/>
        <w:ind w:firstLine="640" w:firstLineChars="200"/>
        <w:rPr>
          <w:rFonts w:ascii="黑体" w:hAnsi="黑体" w:eastAsia="黑体"/>
          <w:sz w:val="32"/>
          <w:szCs w:val="32"/>
        </w:rPr>
      </w:pPr>
    </w:p>
    <w:p w14:paraId="5AEC26E2">
      <w:pPr>
        <w:widowControl w:val="0"/>
        <w:ind w:firstLine="640" w:firstLineChars="200"/>
        <w:rPr>
          <w:rFonts w:ascii="黑体" w:hAnsi="黑体" w:eastAsia="黑体"/>
          <w:sz w:val="32"/>
          <w:szCs w:val="32"/>
        </w:rPr>
      </w:pPr>
      <w:r>
        <w:rPr>
          <w:rFonts w:hint="eastAsia" w:ascii="黑体" w:hAnsi="黑体" w:eastAsia="黑体"/>
          <w:sz w:val="32"/>
          <w:szCs w:val="32"/>
        </w:rPr>
        <w:t xml:space="preserve"> 一、生命健康领域</w:t>
      </w:r>
    </w:p>
    <w:p w14:paraId="1A4EDE08">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方向1：基于增强神经环路调控的脑机接口关键技术研究</w:t>
      </w:r>
    </w:p>
    <w:p w14:paraId="6CCB80A4">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针对被动康复训练模式与脑机接口反馈缺失导致的康复效率受限问题,基于触觉补偿的“外周-中枢-外周”自适应反馈康复训练方法，借助虚拟现实技术，研究基于增强神经环路调控的脑机接口手功能康复机器人，进行临床验证，阐明“感知-认知-言语-手”神经环路增强调控机制，形成多模态主动康复训练新模式。</w:t>
      </w:r>
    </w:p>
    <w:p w14:paraId="0F91A28A">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开发一套基于增强神经调控的脑机接口手功能康复训练机器人系统，可实现手指的主动、被动、助力和抗阻康复训练，具有信息识别、自适应控制、主动运动意图识别、神经环路调控等功能。开发增强神经环路调控下的运动想象脑电解码算法，实现高精度运动意图识别，二类运动意图识别准确率≥85%，识别时间≤250 ms，语言定征识别种类4种以上，识别准确度≥95%。构建一套基于人机协同的高效手部康复策略和安全机制，完成临床验证≥10例。发表高水平论文3篇以上，授权发明专利2项，授权软件著作权3项，培养研究生2-3人。</w:t>
      </w:r>
    </w:p>
    <w:p w14:paraId="0F8B58FA">
      <w:pPr>
        <w:widowControl w:val="0"/>
        <w:ind w:firstLine="640" w:firstLineChars="200"/>
        <w:rPr>
          <w:rFonts w:ascii="仿宋_GB2312" w:hAnsi="Times New Roman" w:eastAsia="仿宋_GB2312" w:cs="Times New Roman"/>
          <w:b/>
          <w:bCs/>
          <w:sz w:val="32"/>
          <w:szCs w:val="32"/>
        </w:rPr>
      </w:pPr>
      <w:r>
        <w:rPr>
          <w:rFonts w:hint="eastAsia" w:ascii="楷体_GB2312" w:hAnsi="楷体_GB2312" w:eastAsia="楷体_GB2312" w:cs="楷体_GB2312"/>
          <w:sz w:val="32"/>
          <w:szCs w:val="32"/>
        </w:rPr>
        <w:t>方向2：针对系列慢性顽固性疾病的海洋创新药物研究</w:t>
      </w:r>
      <w:r>
        <w:rPr>
          <w:rFonts w:hint="eastAsia" w:ascii="仿宋_GB2312" w:hAnsi="Times New Roman" w:eastAsia="仿宋_GB2312" w:cs="Times New Roman"/>
          <w:b/>
          <w:bCs/>
          <w:sz w:val="32"/>
          <w:szCs w:val="32"/>
        </w:rPr>
        <w:t xml:space="preserve"> </w:t>
      </w:r>
    </w:p>
    <w:p w14:paraId="7622BA79">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聚焦生命健康重大需求，针对多发性硬化症、糖尿病足难愈合创面、酒精性多器官损伤等慢性顽固性疾病，综合运用多种新方法、新技术，从海洋微生物、动物、藻类等资源中获取具有新颖结构的小分子、肽类、糖类等天然产物，在此基础上，建立针对上述慢性顽固性疾病的药物筛选与评价体系，阐明具有开发利用价值先导化合物的靶点及作用机制，开展系统的临床前研究，为重大慢性疾病的药物研发奠定基础。</w:t>
      </w:r>
    </w:p>
    <w:p w14:paraId="645927F3">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建立针对一种慢性顽固性疾病的药物筛选与评价体系，获得2-3个具备成药潜力的海洋药物先导化合物，完成药理、药效、药代动力学研究，系统评估其体内安全性。发表高水平论文5篇以上，授权发明专利2项及以上，培养研究生5人以上。</w:t>
      </w:r>
    </w:p>
    <w:p w14:paraId="25BB4ADB">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方向3：干眼发生的神经调控机制及靶向治疗研究</w:t>
      </w:r>
    </w:p>
    <w:p w14:paraId="15A7DAA9">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解析泪腺和睑板腺的神经调控环路，明确泪液分泌整体规律；揭示副交感神经调控睑板腺脂质分泌的下游机制和关键靶点，筛选靶向药物，设计研发热敏型智能药物缓释系统防治干眼；鉴定交感神经调控泪腺分泌功能的中枢神经环路及下游靶点，构建微针等智能药物缓释系统，并验证其长期安全性和有效性。</w:t>
      </w:r>
    </w:p>
    <w:p w14:paraId="754C3A2C">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重点揭示交感神经在干眼发病中的关键作用及其规律，筛选并获得不少于2个干预靶点，完成2-3种用于干眼治疗的创新药物验证。设计并构建2-3种响应型智能药物递送系统，在不少于3种动物模型上完成药效学与药代动力学评价，评估其安全性与有效性。开展相关临床试验2-3项，制定形成临床规范化方案1-2个。发表高水平论文4-6篇，授权发明专利2项及以上，培养研究生4-6名。</w:t>
      </w:r>
    </w:p>
    <w:p w14:paraId="1FEC180C">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方向4：基于合成生物学技术的海洋源蛋白酶资源的高效制备及应用开发</w:t>
      </w:r>
    </w:p>
    <w:p w14:paraId="2A307CE1">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聚焦海洋源蛋白质资源，以合成生物学技术为指导，挖掘深海微生物资源、基因资源、酶资源，揭示新型海洋源蛋白酶的催化特性、催化机制和调控机制；发现和鉴定新酶基因、强启动子等合成生物学元件,构建具有高效催化活性的细胞工厂，突破技术瓶颈，高效合成海洋源天然蛋白酶，实现海洋生物资源高效利用。</w:t>
      </w:r>
    </w:p>
    <w:p w14:paraId="6E8C4058">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挖掘、发现和鉴定2-3种新型海洋源蛋白酶基因及酶资源，所获蛋白酶活性较现有产品有显著性提升；揭示酶的催化机制及其表达调控机制，进一步提高酶的稳定性及活性；构建1-2种酶的高效表达单细胞工厂，建立酶的发酵技术和后处理技术体系；所构建的底盘细胞通过中试验证；发表TOP级别论文不少于3篇；授权发明专利2项及以上；培养国家级人才（团队）1-2名（个）。</w:t>
      </w:r>
    </w:p>
    <w:p w14:paraId="22A3C6FD">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方向5：肿瘤免疫逃逸新型作用靶点开发</w:t>
      </w:r>
    </w:p>
    <w:p w14:paraId="267E78EE">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针对肿瘤免疫微环境高度异质性导致现有免疫检查点抑制剂单药反应率不足的问题，阐明多靶点抑制在肿瘤免疫逃逸中的作用机制，筛选新靶点（如铁死亡、PD-1等）相关高灵敏度生物标志物，获得靶向肿瘤免疫的新精准诊疗策略，探索新靶点关键分子的临床应用潜力。</w:t>
      </w:r>
    </w:p>
    <w:p w14:paraId="0F0D869C">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明确2-3个新靶点相关高灵敏度生物标志物，制备1-2套应用新靶点抑制剂与特异非编码RNA调控物协同靶向策略的递送系统，完成功能性表征。以原位肿瘤为疾病模型，在动物模型上完成作用效果及体内安全性验证，获得1-2项新药申请受理，发表SCI论文不少于5篇，授权发明专利不少于2项，培养研究生不少于5名，培养市级以上科研领军人才1-2名。</w:t>
      </w:r>
    </w:p>
    <w:p w14:paraId="60BFC88D">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方向6：HIFU激活热启动自杀基因治疗肥厚型梗阻性心肌病的分子机制研究</w:t>
      </w:r>
    </w:p>
    <w:p w14:paraId="61399E6A">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针对肥厚型梗阻性心肌病（HOCM）精准治疗的临床需求，将高强度聚焦超声（HIFU）的精准物理消融与热启动自杀基因系统的可控生物调控相结合，建立动物HOCM模型HIFU精准激活热启动自杀基因的治疗体系，阐明HIFU协同基因治疗HOCM的分子机制，突破HIFU精准激活热启动自杀基因的关键技术，为HOCM的精准治疗提供新策略。</w:t>
      </w:r>
    </w:p>
    <w:p w14:paraId="5DFFF5CD">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开发一种具有自主知识产权的原创性治疗方案，构建心肌靶向性热启动自杀基因系统，建立HIFU热效应剂量-温度-时间模型，发表高水平论文不少于3篇，授权发明专利不少于2项，培养研究生不少于3名。</w:t>
      </w:r>
    </w:p>
    <w:p w14:paraId="06E43643">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方向7：基于单细胞拉曼技术的肠癌超前诊断与菌群调控方法学研究及合成微生物组制剂开发</w:t>
      </w:r>
    </w:p>
    <w:p w14:paraId="1D6C5FFD">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针对肠癌肠息肉高发现状，在菌体和细胞水平上，开发基于单细胞拉曼光谱的高通量检测技术，研究肠道菌群与肠道细胞的作用关系，解析乳酸化修饰影响癌症机制以及肠道菌群演替轨迹，利用合成微生物组技术制备微生物组制剂，为肠癌诊疗菌群精准干预提供新途径。</w:t>
      </w:r>
    </w:p>
    <w:p w14:paraId="737A6D58">
      <w:pPr>
        <w:widowControl w:val="0"/>
        <w:ind w:firstLine="643" w:firstLineChars="200"/>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开发基于单细胞拉曼光谱和多组学数据的肠癌菌群干预疗效评估云平台1个，实现对肠癌患者菌群干预疗效的实时监测和评估，诊断准确率&gt;92%。筛选具有肠癌防治功效的高活性功能菌株3-5株，开发合成微生物组制剂1组，并完成动物模型验证。发表高水平论文2-3篇，授权发明专利2-3项，培养研究生不少于3名。</w:t>
      </w:r>
    </w:p>
    <w:p w14:paraId="47E59746">
      <w:pPr>
        <w:widowControl w:val="0"/>
        <w:ind w:firstLine="640" w:firstLineChars="200"/>
        <w:rPr>
          <w:rFonts w:ascii="楷体_GB2312" w:hAnsi="楷体_GB2312" w:eastAsia="楷体_GB2312" w:cs="楷体_GB2312"/>
          <w:sz w:val="32"/>
          <w:szCs w:val="32"/>
        </w:rPr>
      </w:pPr>
      <w:r>
        <w:rPr>
          <w:rFonts w:hint="eastAsia" w:ascii="黑体" w:hAnsi="黑体" w:eastAsia="黑体"/>
          <w:sz w:val="32"/>
          <w:szCs w:val="32"/>
        </w:rPr>
        <w:t>二、低空经济领域</w:t>
      </w:r>
    </w:p>
    <w:p w14:paraId="29A22AD7">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方向：工业无人机高性能润滑材料极压抗磨与长效防护关键技术研究</w:t>
      </w:r>
    </w:p>
    <w:p w14:paraId="04FEB134">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围绕工业无人机在高载荷、高频振动、高低温交变等极端工况对润滑材料提出的高性能需求，开展极压抗磨功能稠化剂与高性能添加剂的分子设计与合成优选、协同润滑机制及长效防护性能研究，实现润滑材料在工业无人机极端工况下的自适应防护与长效延寿。</w:t>
      </w:r>
    </w:p>
    <w:p w14:paraId="59F95EEC">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研制出不少于2种高性能极压抗磨润滑脂；摩擦系数≤0.05，磨斑直径≤0.4mm，极压性能（最大无卡咬负荷，PB值）≥1000N；盐雾环境下防锈等级≥1级；完成无人机模拟台架寿命测试≥5000小时；在高水平期刊发表论文不少于6篇，授权发明专利不少于2件，培养研究生不少于5名。</w:t>
      </w:r>
    </w:p>
    <w:p w14:paraId="1C3FD111">
      <w:pPr>
        <w:spacing w:after="0" w:line="560" w:lineRule="exact"/>
        <w:ind w:firstLine="640" w:firstLineChars="200"/>
        <w:jc w:val="both"/>
        <w:rPr>
          <w:rFonts w:ascii="Calibri" w:hAnsi="Calibri" w:eastAsia="宋体" w:cs="黑体"/>
          <w:kern w:val="2"/>
          <w:sz w:val="21"/>
          <w:szCs w:val="22"/>
          <w:lang w:val="en-US" w:eastAsia="zh-CN" w:bidi="ar-SA"/>
        </w:rPr>
      </w:pPr>
      <w:r>
        <w:rPr>
          <w:rFonts w:hint="eastAsia" w:ascii="黑体" w:hAnsi="黑体" w:eastAsia="黑体" w:cs="黑体"/>
          <w:kern w:val="2"/>
          <w:sz w:val="32"/>
          <w:szCs w:val="32"/>
          <w:lang w:val="en-US" w:eastAsia="zh-CN" w:bidi="ar-SA"/>
        </w:rPr>
        <w:t>三、新一代信息技术领域</w:t>
      </w:r>
    </w:p>
    <w:p w14:paraId="6386F1FC">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方向：车载大容量电光调制芯片性能及整车光通信架构研究</w:t>
      </w:r>
    </w:p>
    <w:p w14:paraId="3E344D92">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聚焦轨道车辆智能化对高带宽、低时延与高可靠信息互联的需求，开展车载高性能电光调制芯片及光通信架构研究，揭示强场约束与高非线性材料对高速电光调制性能极限的作用机理，形成新型高速电光调制原理与方法、硅光子-电光材料异质跨界面多物理场耦合建模与实验表征方法，实现车载与车地光互联系统的大容量高可靠低功耗实时传输，构建适配高速列车的整车光通信网络的架构范式，为青岛轨道交通产业的信息化升级提供科学基础。</w:t>
      </w:r>
    </w:p>
    <w:p w14:paraId="73F959FA">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：薄膜电光系数&gt;300 pm/V，电光调制芯片带宽&gt;110 GHz，半波电压长度乘积（VπL）&lt; 2 V·mm（调制长度&lt;1.0 mm），单比特能耗 &lt;100 fJ/bit，整车光通信网络架构方案适用车厢数≥8，可覆盖多节点数据交互场景；在高水平期刊发表论文不少于6篇，授权发明专利不少于4件，培养研究生不少于5名。</w:t>
      </w:r>
    </w:p>
    <w:p w14:paraId="0E993FC1">
      <w:pPr>
        <w:spacing w:after="0" w:line="560" w:lineRule="exact"/>
        <w:ind w:firstLine="640" w:firstLineChars="200"/>
        <w:jc w:val="both"/>
        <w:rPr>
          <w:rFonts w:ascii="Calibri" w:hAnsi="Calibri" w:eastAsia="宋体" w:cs="黑体"/>
          <w:kern w:val="2"/>
          <w:sz w:val="21"/>
          <w:szCs w:val="22"/>
          <w:lang w:val="en-US" w:eastAsia="zh-CN" w:bidi="ar-SA"/>
        </w:rPr>
      </w:pPr>
      <w:r>
        <w:rPr>
          <w:rFonts w:hint="eastAsia" w:ascii="黑体" w:hAnsi="黑体" w:eastAsia="黑体" w:cs="黑体"/>
          <w:kern w:val="2"/>
          <w:sz w:val="32"/>
          <w:szCs w:val="32"/>
          <w:lang w:val="en-US" w:eastAsia="zh-CN" w:bidi="ar-SA"/>
        </w:rPr>
        <w:t>四、高端化工与新材料</w:t>
      </w:r>
    </w:p>
    <w:p w14:paraId="3C7F03BD">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方向1：硅胶固废分子筛绿色合成及其废塑料资源化利用</w:t>
      </w:r>
    </w:p>
    <w:p w14:paraId="4998C2AA">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针对废塑料资源化以及工业固废高值化转化利用难题，开展硅胶行业固废合成高性能分子筛及废塑料资源化研究，阐明分子筛晶体生长与溶解机理，揭示离子、分子和纳米颗粒之间的相互作用规律，实现无氟、无模板剂、无添加剂体系分子筛绿色生产，明确影响分子筛孔道结构、尺寸形貌和元素分布的关键因素，实现分子筛的理性设计与合成。</w:t>
      </w:r>
    </w:p>
    <w:p w14:paraId="6AEDB8B0">
      <w:pPr>
        <w:widowControl w:val="0"/>
        <w:ind w:firstLine="643" w:firstLineChars="200"/>
        <w:rPr>
          <w:rFonts w:ascii="仿宋_GB2312" w:hAnsi="Times New Roman" w:eastAsia="仿宋_GB2312" w:cs="Times New Roman"/>
          <w:sz w:val="32"/>
          <w:szCs w:val="32"/>
        </w:rPr>
      </w:pPr>
      <w:r>
        <w:rPr>
          <w:rFonts w:ascii="Times New Roman" w:hAnsi="Times New Roman" w:eastAsia="仿宋_GB2312" w:cs="Times New Roman"/>
          <w:b/>
          <w:bCs/>
          <w:color w:val="000000"/>
          <w:sz w:val="32"/>
          <w:szCs w:val="32"/>
        </w:rPr>
        <w:t>考核指标：</w:t>
      </w:r>
      <w:r>
        <w:rPr>
          <w:rFonts w:ascii="Times New Roman" w:hAnsi="Times New Roman" w:eastAsia="仿宋_GB2312" w:cs="Times New Roman"/>
          <w:color w:val="000000"/>
          <w:sz w:val="32"/>
          <w:szCs w:val="32"/>
        </w:rPr>
        <w:t>利</w:t>
      </w:r>
      <w:r>
        <w:rPr>
          <w:rFonts w:ascii="仿宋_GB2312" w:hAnsi="Times New Roman" w:eastAsia="仿宋_GB2312" w:cs="Times New Roman"/>
          <w:sz w:val="32"/>
          <w:szCs w:val="32"/>
        </w:rPr>
        <w:t>用碱性和酸性硅胶废料开发纳米多级孔分子筛形貌调控方法，实现三种以上分子筛催化剂无氟、无模板剂、无添加剂绿色制备工艺，废塑料催化裂解单程转化率不低于95%，低碳烯烃、芳烃或汽柴油等高值产品选择性不低于65%，依托我市企业完成相关技术的中试验证。在高水平期刊发表论文不少于6篇，授权发明专利不少于3件，引进和培养省部级以上人才不少于2人，获批市级以上工程技术中心或者实验室，培养研究生不少于8名。</w:t>
      </w:r>
    </w:p>
    <w:p w14:paraId="67CCF502">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方向2：海工装备用特种抗低温耐蚀钢设计制备与性能调控研究</w:t>
      </w:r>
    </w:p>
    <w:p w14:paraId="1944451B">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针对极端海洋环境下合金钢面临的低温、腐蚀、断裂耦合损伤问题，开展极端环境适应性特种抗低温耐蚀钢设计，突破长寿命特钢制备技术与使役性能评价技术，揭示低温韧塑化机制与耐蚀机理，完成特种抗低温耐蚀钢的工业试制与评价，为海工装备安全服役提供技术支持。</w:t>
      </w:r>
    </w:p>
    <w:p w14:paraId="63B6C4A4">
      <w:pPr>
        <w:widowControl w:val="0"/>
        <w:ind w:firstLine="643" w:firstLineChars="200"/>
        <w:rPr>
          <w:rFonts w:ascii="仿宋_GB2312" w:hAnsi="Times New Roman" w:eastAsia="仿宋_GB2312" w:cs="Times New Roman"/>
          <w:sz w:val="32"/>
          <w:szCs w:val="32"/>
        </w:rPr>
      </w:pPr>
      <w:r>
        <w:rPr>
          <w:rFonts w:ascii="Times New Roman" w:hAnsi="Times New Roman" w:eastAsia="仿宋_GB2312" w:cs="Times New Roman"/>
          <w:b/>
          <w:bCs/>
          <w:color w:val="000000"/>
          <w:sz w:val="32"/>
          <w:szCs w:val="32"/>
        </w:rPr>
        <w:t>考核指标：</w:t>
      </w:r>
      <w:r>
        <w:rPr>
          <w:rFonts w:ascii="Times New Roman" w:hAnsi="Times New Roman" w:eastAsia="仿宋_GB2312" w:cs="Times New Roman"/>
          <w:color w:val="000000"/>
          <w:sz w:val="32"/>
          <w:szCs w:val="32"/>
        </w:rPr>
        <w:t>开</w:t>
      </w:r>
      <w:r>
        <w:rPr>
          <w:rFonts w:ascii="仿宋_GB2312" w:hAnsi="Times New Roman" w:eastAsia="仿宋_GB2312" w:cs="Times New Roman"/>
          <w:sz w:val="32"/>
          <w:szCs w:val="32"/>
        </w:rPr>
        <w:t>发耐低温冻融、耐海水腐蚀、抗环境敏感断裂（脆断、疲劳）的特钢材料，完成特种抗低温耐蚀钢的工业试制；特钢-40℃冲击功≥250J，腐蚀活性夹杂物密度≤10个/mm2；焊接接头疲劳强度R=0.1、200万次拉拉疲劳应力幅≥150MPa，-40℃低温冲击功≥150J，CTOD≥0.6mm；在高水平期刊发表论文不少于8篇，授权发明专利不少于2件，引育国家级/省部级人才不少于2名，培养研究生不少于8人。</w:t>
      </w:r>
    </w:p>
    <w:p w14:paraId="42D3C9CC">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方向3：二氧化碳加氢制丁二烯橡胶应用基础研究</w:t>
      </w:r>
    </w:p>
    <w:p w14:paraId="0DECED56">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针对橡胶轮胎行业对绿色丁二烯橡胶的迫切需求，构筑高效CO2制丁二烯橡胶催化剂体系；辨析催化活性位动态演变规律，揭示多活性位协同作用机理及产物调控机制；研究反应过程强化方法，建立CO2加氢制丁二烯橡胶全流程工艺路线，推动青岛市橡胶、塑料等行业的绿色化转型。</w:t>
      </w:r>
    </w:p>
    <w:p w14:paraId="026E117F">
      <w:pPr>
        <w:widowControl w:val="0"/>
        <w:ind w:firstLine="643" w:firstLineChars="200"/>
        <w:rPr>
          <w:rFonts w:ascii="仿宋_GB2312" w:hAnsi="Times New Roman" w:eastAsia="仿宋_GB2312" w:cs="Times New Roman"/>
          <w:sz w:val="32"/>
          <w:szCs w:val="32"/>
        </w:rPr>
      </w:pPr>
      <w:r>
        <w:rPr>
          <w:rFonts w:ascii="Times New Roman" w:hAnsi="Times New Roman" w:eastAsia="仿宋_GB2312" w:cs="Times New Roman"/>
          <w:b/>
          <w:bCs/>
          <w:color w:val="000000"/>
          <w:sz w:val="32"/>
          <w:szCs w:val="32"/>
        </w:rPr>
        <w:t>考核指标：</w:t>
      </w:r>
      <w:r>
        <w:rPr>
          <w:rFonts w:ascii="仿宋_GB2312" w:hAnsi="Times New Roman" w:eastAsia="仿宋_GB2312" w:cs="Times New Roman"/>
          <w:sz w:val="32"/>
          <w:szCs w:val="32"/>
        </w:rPr>
        <w:t>精准构筑多功能活性位定向耦合的CO2加氢催化剂体系，明晰催化剂物化特性和构效关系；阐明CO2加氢催化反应机理以及反应过程强化方法，CO2单程转化率不低于55%，乙醇选择性不低于80%；构建“金属催化剂电子结构-酸碱性质-催化性能”多元关联关系，建立CO2加氢制丁二烯橡胶催化剂预测设计模型；形成CO2高效加氢制丁二烯橡胶全流程工艺并进行验证，乙醇制丁二烯收率不低于60%。在高水平期刊发表论文不少于6篇，授权发明专利不少于5件，培养研究生不少于5人。</w:t>
      </w:r>
    </w:p>
    <w:p w14:paraId="52EC235E">
      <w:pPr>
        <w:spacing w:after="0" w:line="560" w:lineRule="exact"/>
        <w:ind w:firstLine="640" w:firstLineChars="200"/>
        <w:jc w:val="both"/>
        <w:rPr>
          <w:rFonts w:ascii="Calibri" w:hAnsi="Calibri" w:eastAsia="宋体" w:cs="黑体"/>
          <w:kern w:val="2"/>
          <w:sz w:val="21"/>
          <w:szCs w:val="22"/>
          <w:lang w:val="en-US" w:eastAsia="zh-CN" w:bidi="ar-SA"/>
        </w:rPr>
      </w:pPr>
      <w:r>
        <w:rPr>
          <w:rFonts w:hint="eastAsia" w:ascii="黑体" w:hAnsi="黑体" w:eastAsia="黑体" w:cs="黑体"/>
          <w:kern w:val="2"/>
          <w:sz w:val="32"/>
          <w:szCs w:val="32"/>
          <w:lang w:val="en-US" w:eastAsia="zh-CN" w:bidi="ar-SA"/>
        </w:rPr>
        <w:t>五、绿色能源领域</w:t>
      </w:r>
    </w:p>
    <w:p w14:paraId="7DD07F85">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方向1：全无机钙钛矿太阳能电池的热管理研究</w:t>
      </w:r>
    </w:p>
    <w:p w14:paraId="16C45480">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针对钙钛矿薄膜热累积造成的热失稳这一共性关键科学问题，开展动态调控策略、多物理场模拟与表征、自冷却全无机钙钛矿电池研究，揭示钙钛矿薄膜本征热输运特性理论，突破全无机钙钛矿电池产业化面临的热稳定性瓶颈。</w:t>
      </w:r>
    </w:p>
    <w:p w14:paraId="0F0919EA">
      <w:pPr>
        <w:widowControl w:val="0"/>
        <w:ind w:firstLine="643" w:firstLineChars="200"/>
        <w:rPr>
          <w:rFonts w:ascii="黑体" w:hAnsi="黑体" w:eastAsia="黑体"/>
          <w:sz w:val="32"/>
          <w:szCs w:val="32"/>
        </w:rPr>
      </w:pPr>
      <w:r>
        <w:rPr>
          <w:rFonts w:ascii="Times New Roman" w:hAnsi="Times New Roman" w:eastAsia="仿宋_GB2312" w:cs="Times New Roman"/>
          <w:b/>
          <w:bCs/>
          <w:color w:val="000000"/>
          <w:sz w:val="32"/>
          <w:szCs w:val="32"/>
        </w:rPr>
        <w:t>考核指标：</w:t>
      </w:r>
      <w:r>
        <w:rPr>
          <w:rFonts w:ascii="仿宋_GB2312" w:hAnsi="Times New Roman" w:eastAsia="仿宋_GB2312" w:cs="Times New Roman"/>
          <w:sz w:val="32"/>
          <w:szCs w:val="32"/>
        </w:rPr>
        <w:t>全无机CsPbBr3钙钛矿电池的光电转换效率达到12%以上，碳基全无机CsPbI2Br钙钛矿电池的光电转换效率达到16%以上，最高开路电压达到1.78V；在高水平期刊发表论文不少于6篇，授权发明专利不少于3件，建立一支在全无机钙钛矿太阳能电池领域具有国际竞争力的科研团队，引进和培养省部级以上人才不少于2人，培养研究生不少于8名。</w:t>
      </w:r>
    </w:p>
    <w:p w14:paraId="3E6CAE67">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方向2：远海浮式风电平台超高性能混凝土材料设计与模块化制造技术</w:t>
      </w:r>
    </w:p>
    <w:p w14:paraId="0ABFDE43">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针对传统浮式风电钢结构平台结构稳定性差，环境适应性弱和耐久性不足等问题，开发用于深远海浮式风电的轻质、高强、高韧性超高性能混凝土材料（UHPC），研发浮岛材料核壳一体化设计方法与制备技术，提出适用于深海浮式风电的预制装配式UHPC浮式平台设计方案，构建深远海UHPC浮式风电平台的动力响应模型，揭示恶劣工况下平台整体强度特性，攻克深远海装配式UHPC组合模块的智能拼装技术，为海洋风电工程长寿命运维提供理论指导与技术支撑。</w:t>
      </w:r>
    </w:p>
    <w:p w14:paraId="353197F4">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完成用于深海浮式风电的轻质、高韧性与低收缩的UHPC材料开发：表观密度小于2100kg/m3，28天抗压强度高于120MPa，抗拉强度≥10MPa，极限应变率大于3%，28天电通量低于50C，自收缩值&lt;500με；提出适用于深海浮式风电的预制装配式UHPC浮式平台设计方案；开发智能化UHPC组合模块结构的精确对位、智能放样、关键节点自锁连接等施工关键技术与装备不少于3套，实现新型装配式UHPC组合模块结构与智能建造的融合，并开展示范应用。授权发明专利不少于2项，发表高水平论文不少于3篇，培养研究生不少于3名。</w:t>
      </w:r>
    </w:p>
    <w:p w14:paraId="1FD2177D">
      <w:pPr>
        <w:widowControl w:val="0"/>
        <w:ind w:firstLine="640" w:firstLineChars="200"/>
        <w:rPr>
          <w:rFonts w:ascii="楷体_GB2312" w:hAnsi="楷体_GB2312" w:eastAsia="楷体_GB2312" w:cs="楷体_GB2312"/>
          <w:sz w:val="32"/>
          <w:szCs w:val="32"/>
        </w:rPr>
      </w:pPr>
      <w:r>
        <w:rPr>
          <w:rFonts w:hint="eastAsia" w:ascii="黑体" w:hAnsi="黑体" w:eastAsia="黑体"/>
          <w:sz w:val="32"/>
          <w:szCs w:val="32"/>
        </w:rPr>
        <w:t>六、人工智能领域</w:t>
      </w:r>
    </w:p>
    <w:p w14:paraId="7A44908D">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方向1：面向重大健康需求的智能分子设计大模型研究</w:t>
      </w:r>
    </w:p>
    <w:p w14:paraId="3F485BFD">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面向高端医药智能设计重大需求，开展面向高端材料的高质量分子数据集构建，涵盖小分子药物、水凝胶、纳米生物材料等关键数据，实现多模态多源异构数据融合对齐。开展融合知识与数据的多模态分子表征与预训练范式研究，设计统一的多模态编码器架构，设计嵌入化学规则与材料性能内在联系的预训练任务，研发领域知识约束的分子生成模型。开展智能分子设计大模型可解释性分析及机制验证研究，在分子生成优化阶段实现特定设计目标可注入、可决策。形成智能分子设计大模型，实现泛化良好、可靠性高的智能精准分子设计。</w:t>
      </w:r>
    </w:p>
    <w:p w14:paraId="1B2C8659">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建成国内首个面向高端医药材料的专业数据集，规模超200万条；研发具有自主知识产权的分子生成大模型系统，在特定目标功能的定制化分子生成性能显著提升，有效占比超60%；形成可解释分子设计技术体系，针对3-5类重大疾病相关靶点或医用材料性能指标，实现功能基元识别与机制推断，准确率达85%以上；发表高水平SCI论文不少于5篇，授权发明专利不少于3项，培养研究生6名以上。</w:t>
      </w:r>
    </w:p>
    <w:p w14:paraId="56DEC36E">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方向2：多维感知具身成像方法研究</w:t>
      </w:r>
    </w:p>
    <w:p w14:paraId="5691B15F">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围绕人形机器人复杂场景下的多维感知与智能作业需求，开展可见光、红外与4D毫米波雷达的多源信息融合与成像技术研究，攻克特种作业机器人多传感器协同、动态目标跟踪、异构数据融合和体臂协同控制等关键技术，实现动态环境中高精度感知、定位与协同能力，提升机器人在复杂场景下的环境适应性、感知智能性和作业自主性。</w:t>
      </w:r>
    </w:p>
    <w:p w14:paraId="4882CA03">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研制多源融合感知样机1套，目标识别准确率＞95%，在雨雾等恶劣环境下有效探测距离不低于200米；开发具身智能作业机器人系统1套，定位精度达到厘米级（±5cm），体臂协同控制响应延迟＜100ms；设计不少于2种应用场景并开展示范应用；授权发明专利不少于3项，发表高水平SCI论文不少于5篇，培养研究生不少于6名。</w:t>
      </w:r>
    </w:p>
    <w:p w14:paraId="74535356">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方向3：基于主动感知的国际航运智能态势感知与决策支持系统</w:t>
      </w:r>
    </w:p>
    <w:p w14:paraId="347F73DE">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聚焦青岛国际航运中心智能化与绿色化协同发展的核心需求，构建国际航运系统的“动态感知—多尺度预测—智能研判”理论体系，开发多元数据的主动感知与大模型驱动的智能航运、绿色航运关键技术，建立基于主动感知的国际航运智能态势感知与决策支持系统，为全球领先的航运枢纽体系构建奠定基础。</w:t>
      </w:r>
    </w:p>
    <w:p w14:paraId="2806C7DA">
      <w:pPr>
        <w:widowControl w:val="0"/>
        <w:ind w:firstLine="643" w:firstLineChars="200"/>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研发国际航运智能态势感知与决策支持原型系统1套，以青岛为核心构建全球主要航运中心城市碳汇计算数据库1个，完成相关研究报告1份，授权发明专利不少于2项，登记软件著作权1项，发表高水平论文不少于3篇。</w:t>
      </w:r>
    </w:p>
    <w:p w14:paraId="20FF7B6A">
      <w:pPr>
        <w:widowControl w:val="0"/>
        <w:ind w:firstLine="640" w:firstLineChars="200"/>
        <w:rPr>
          <w:rFonts w:ascii="楷体_GB2312" w:hAnsi="楷体_GB2312" w:eastAsia="楷体_GB2312" w:cs="楷体_GB2312"/>
          <w:sz w:val="32"/>
          <w:szCs w:val="32"/>
        </w:rPr>
      </w:pPr>
      <w:r>
        <w:rPr>
          <w:rFonts w:hint="eastAsia" w:ascii="黑体" w:hAnsi="黑体" w:eastAsia="黑体"/>
          <w:sz w:val="32"/>
          <w:szCs w:val="32"/>
        </w:rPr>
        <w:t>七、未来产业领域</w:t>
      </w:r>
    </w:p>
    <w:p w14:paraId="3177AB8D">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方向1：深海铁锰结核成矿机制与生态扰动协同调控研究</w:t>
      </w:r>
    </w:p>
    <w:p w14:paraId="6DCF98FF">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围绕深海铁锰结核绿色开发需求，开展基于多源数据融合与人工智能的深海铁锰结核成矿机制与资源潜力智能预测、地形地质特征驱动的深海铁锰结核开采区块优选及生态环境扰动机制研究，阐明成矿规律与环境响应机理，实现资源高效勘探与生态风险协同管控目标。</w:t>
      </w:r>
    </w:p>
    <w:p w14:paraId="67947EDD">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建立结核分布智能预测模型，实现资源潜力区圈定精度≥85%，定位误差≤1000米。构建地质－地形－流体耦合评价体系，开发地质风险动态预警软件1套，滑坡风险预警准确率≥80%。建立深海生态系统环境阈值模型，为绿色集矿装备设计提供参数依据，形成边缘海铁锰结核生态阈值行业标准1项。授权发明专利不少于3项，发表高水平SCI论文不少于5篇。</w:t>
      </w:r>
    </w:p>
    <w:p w14:paraId="33773BF4">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方向2：基于生成式人工智能的生态友好型仿生水下通信技术研究</w:t>
      </w:r>
    </w:p>
    <w:p w14:paraId="2B39B96B">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针对当前水下声纳通信存在危害海洋哺乳动物、影响鱼类生长生存的问题，开展基于轻量化神经网络的海洋动物叫声识别与分类技术研究，研发基于盲源分离的仿生通信信号干扰抑制技术，阐明生成仿生通信信号及提高仿生信号接收性能的机理。研制生态友好型水声通信原理样机，实现动态适配海域环境的生态友好型仿生水声通信，并开展海试试验优化样机性能。</w:t>
      </w:r>
    </w:p>
    <w:p w14:paraId="4C855740">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突破我国海域5类典型海洋哺乳动物叫声的高精度识别（信噪比5dB下准确率≥95%），高保真水声信号生成（与真实动物叫声相似度≥95%），远距离低误码解码（10km下通信速率≥60bps、误码率≤10-4），仿生信号在多声源干扰下的高效分离（均方误差≤10-2）等指标。发表高水平SCI论文不少于5篇，授权发明专利不少于3项，培育省部级人才1人次以上，培养研究生6人次以上。</w:t>
      </w:r>
    </w:p>
    <w:p w14:paraId="3EA1E894">
      <w:pPr>
        <w:widowControl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方向3：北斗与低轨卫星融合增强的海洋高精度定位关键技术</w:t>
      </w:r>
    </w:p>
    <w:p w14:paraId="4D67D829">
      <w:pPr>
        <w:widowControl w:val="0"/>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研究内容</w:t>
      </w:r>
      <w:r>
        <w:rPr>
          <w:rFonts w:hint="eastAsia" w:ascii="仿宋_GB2312" w:hAnsi="Times New Roman" w:eastAsia="仿宋_GB2312" w:cs="Times New Roman"/>
          <w:sz w:val="32"/>
          <w:szCs w:val="32"/>
        </w:rPr>
        <w:t>：针对海洋增强信息生成难、播发难、稳健定位难的问题，开展北斗与低轨卫星融合增强的动态变分数据同化方法，建立顾及非各向同性的对流层延迟多模态分类估计模型；研究基于北斗短报文的压缩编码策略，创新北斗短报文与低轨卫星融合的海上异构网络通信与增强定位方法；发展基于风浪流联合预测与控制－运动耦合关系的北斗/惯导定位定姿模型，实现海洋复杂环境下船舶的稳健定位，发展海洋大气高精度估计与预测技术，创新异构卫星增强定位方法，实现无人艇集群协同作业。</w:t>
      </w:r>
    </w:p>
    <w:p w14:paraId="1D2F81E0">
      <w:pPr>
        <w:widowControl w:val="0"/>
        <w:ind w:firstLine="643" w:firstLineChars="200"/>
      </w:pPr>
      <w:r>
        <w:rPr>
          <w:rFonts w:hint="eastAsia" w:ascii="仿宋_GB2312" w:hAnsi="Times New Roman" w:eastAsia="仿宋_GB2312" w:cs="Times New Roman"/>
          <w:b/>
          <w:bCs/>
          <w:sz w:val="32"/>
          <w:szCs w:val="32"/>
        </w:rPr>
        <w:t>考核指标</w:t>
      </w:r>
      <w:r>
        <w:rPr>
          <w:rFonts w:hint="eastAsia" w:ascii="仿宋_GB2312" w:hAnsi="Times New Roman" w:eastAsia="仿宋_GB2312" w:cs="Times New Roman"/>
          <w:sz w:val="32"/>
          <w:szCs w:val="32"/>
        </w:rPr>
        <w:t>：研发顾及非各向同性的对流层延迟多模态分类估计模型、北斗短报文与低轨卫星融合的海上异构网络通信与增强定位方法、基于风浪流联合预测与控制－运动耦合关系的北斗/惯导定位定姿技术，形成无人艇集群协同导航定位系统。海洋对流层延迟估计精度优于 5cm；海洋定位精度优于 1dm；无人艇集群数量大于4艘；取得服务效益不少于500万元；发表高水平SCI论文不少于5篇；授权发明专利不少于3项；培养研究生不少于6名。</w:t>
      </w:r>
    </w:p>
    <w:p w14:paraId="2441C2D8">
      <w:pPr>
        <w:widowControl w:val="0"/>
        <w:ind w:firstLine="640" w:firstLineChars="200"/>
      </w:pPr>
      <w:r>
        <w:rPr>
          <w:rFonts w:hint="eastAsia" w:ascii="仿宋_GB2312" w:hAnsi="Times New Roman" w:eastAsia="仿宋_GB2312" w:cs="Times New Roman"/>
          <w:sz w:val="32"/>
          <w:szCs w:val="32"/>
        </w:rPr>
        <w:t>以上每个方向拟支持项目1项，支持资金不超过100万元。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65B19"/>
    <w:rsid w:val="1386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2025-11-07T02:37:00Z</dcterms:created>
  <dc:creator>Shammer-</dc:creator>
  <cp:lastModifiedBy>Shammer-</cp:lastModifiedBy>
  <dcterms:modified xsi:type="dcterms:W3CDTF">2025-11-07T02:38:07Z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D61F45112D6B4CB1A9A9EF112379F032_11</vt:lpwstr>
  </property>
  <property fmtid="{D5CDD505-2E9C-101B-9397-08002B2CF9AE}" pid="4" name="KSOTemplateDocerSaveRecord">
    <vt:lpwstr>eyJoZGlkIjoiMDI1Yzk4Y2U4ZTQxMWI1NTc0YzFhMzYyZWUxZDY4ZDUiLCJ1c2VySWQiOiIyNTQ3NTgxNjkifQ==</vt:lpwstr>
  </property>
</Properties>
</file>